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spacing w:val="6"/>
          <w:positio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6"/>
          <w:positio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/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6"/>
          <w:position w:val="2"/>
          <w:sz w:val="44"/>
          <w:szCs w:val="44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3"/>
          <w:position w:val="2"/>
          <w:sz w:val="44"/>
          <w:szCs w:val="44"/>
          <w14:textFill>
            <w14:solidFill>
              <w14:schemeClr w14:val="tx1"/>
            </w14:solidFill>
          </w14:textFill>
        </w:rPr>
        <w:t>济稳进提质八大攻坚行动专班汇总表</w:t>
      </w:r>
    </w:p>
    <w:tbl>
      <w:tblPr>
        <w:tblStyle w:val="33"/>
        <w:tblpPr w:leftFromText="180" w:rightFromText="180" w:vertAnchor="text" w:horzAnchor="page" w:tblpX="886" w:tblpY="175"/>
        <w:tblOverlap w:val="never"/>
        <w:tblW w:w="14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350"/>
        <w:gridCol w:w="1155"/>
        <w:gridCol w:w="1155"/>
        <w:gridCol w:w="2100"/>
        <w:gridCol w:w="2655"/>
        <w:gridCol w:w="4455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8" w:lineRule="auto"/>
              <w:ind w:left="139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7" w:lineRule="auto"/>
              <w:ind w:left="137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班名称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6" w:lineRule="auto"/>
              <w:ind w:left="61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59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10" w:lineRule="auto"/>
              <w:ind w:left="2652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班组成</w:t>
            </w:r>
          </w:p>
        </w:tc>
        <w:tc>
          <w:tcPr>
            <w:tcW w:w="44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7" w:lineRule="auto"/>
              <w:ind w:left="956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要工作内容</w:t>
            </w:r>
          </w:p>
        </w:tc>
        <w:tc>
          <w:tcPr>
            <w:tcW w:w="151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8" w:lineRule="auto"/>
              <w:ind w:left="219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点指标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员单位</w:t>
            </w:r>
          </w:p>
        </w:tc>
        <w:tc>
          <w:tcPr>
            <w:tcW w:w="445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常态化疫情防控与经济社会发展共赢攻坚行动专班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防控办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王丹俊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政府副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韩娜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（县府办副主任）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鲍军（县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委政法委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常务副书记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傅纪明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经信局局长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毛军海（县卫健局局长）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县疫情防控工作领导小组有关成员单位</w:t>
            </w:r>
          </w:p>
        </w:tc>
        <w:tc>
          <w:tcPr>
            <w:tcW w:w="4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守好入嵊“大门”，管好场所“小门”。强化核酸检测能力，提升科学精准防控和应急处置能力，全面落实“四早要求”和“四方责任”。优化大物防体制机制，强化行业主管部门责任，统筹突发疫情状态下的社会面管控、重点企业生产、城市核心功能稳定运行。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强化政策集成落地攻坚行动专班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县府办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宋晖（县委常委、县政府常务副县长）</w:t>
            </w:r>
          </w:p>
        </w:tc>
        <w:tc>
          <w:tcPr>
            <w:tcW w:w="2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4"/>
                <w:lang w:val="en-US" w:eastAsia="zh-CN"/>
              </w:rPr>
              <w:t>虞海军（县府办主任）、孙溪（县府办副主任）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县发改局、县经信局、县财政局、县人力社保局</w:t>
            </w:r>
          </w:p>
        </w:tc>
        <w:tc>
          <w:tcPr>
            <w:tcW w:w="4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顶格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主动承接国务院33条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省38条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和市</w:t>
            </w:r>
            <w:r>
              <w:rPr>
                <w:rFonts w:hint="eastAsia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政策举措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能快则快、能出尽出</w:t>
            </w:r>
            <w:r>
              <w:rPr>
                <w:rFonts w:hint="eastAsia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研究出台配套政策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实施细则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；以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企业和群众的获得感满意度为标尺，开展评价问效，确保各项政策直达兑付、用足用好。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GDP、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一般公共预算收入、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扣除留抵退税后财政收入、城镇调查失业率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稳企业强主体攻坚行动专班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经信局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陈完章（县委常委、县政府副县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长）</w:t>
            </w:r>
          </w:p>
        </w:tc>
        <w:tc>
          <w:tcPr>
            <w:tcW w:w="21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王存斌（县府办副主任）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傅纪明（县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经信局局长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组织部、县委网信办、县发改局、县人力社保局、县住建局、县交通运输局、县农业农村局、县文广旅体局、县市场监管局、县统计局、县海洋与渔业局、县政务服务办、嵊泗海关、县税务局、县工商联、国网县供电公司</w:t>
            </w:r>
          </w:p>
        </w:tc>
        <w:tc>
          <w:tcPr>
            <w:tcW w:w="4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三服务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制，县乡领导两级分层联系企业，定期走访调研结对企业，帮助企业解决突出问题，提振企业发展信心。全力推进减负降本，尤其关注涉及新扩增行业、受疫情影响的特困行业、重点企业物流费用、经营困难行业等特殊政策的兑付。有序推进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育新推规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，实施科技企业双倍增计划，加大科技型企业培育力度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市场主体变化情况、公路水路货物周转量、接待游客人次、旅游收入</w:t>
            </w:r>
          </w:p>
        </w:tc>
      </w:tr>
    </w:tbl>
    <w:tbl>
      <w:tblPr>
        <w:tblStyle w:val="33"/>
        <w:tblpPr w:leftFromText="180" w:rightFromText="180" w:vertAnchor="text" w:horzAnchor="page" w:tblpX="901" w:tblpY="240"/>
        <w:tblOverlap w:val="never"/>
        <w:tblW w:w="149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350"/>
        <w:gridCol w:w="1140"/>
        <w:gridCol w:w="1170"/>
        <w:gridCol w:w="2070"/>
        <w:gridCol w:w="2685"/>
        <w:gridCol w:w="4455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8" w:lineRule="auto"/>
              <w:ind w:left="139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3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7" w:lineRule="auto"/>
              <w:ind w:left="137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班名称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6" w:lineRule="auto"/>
              <w:ind w:left="61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59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10" w:lineRule="auto"/>
              <w:ind w:left="2652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班组成</w:t>
            </w:r>
          </w:p>
        </w:tc>
        <w:tc>
          <w:tcPr>
            <w:tcW w:w="445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7" w:lineRule="auto"/>
              <w:ind w:left="956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要工作内容</w:t>
            </w:r>
          </w:p>
        </w:tc>
        <w:tc>
          <w:tcPr>
            <w:tcW w:w="15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8" w:lineRule="auto"/>
              <w:ind w:left="219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点指标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left="392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left="696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left="927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员单位</w:t>
            </w:r>
          </w:p>
        </w:tc>
        <w:tc>
          <w:tcPr>
            <w:tcW w:w="445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畅循环稳工业攻坚行动专班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经信局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陈完章（县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委常委、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政府副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王存斌（县府办副主任）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傅纪明（县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经信局局长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县发改局、县公安局、县财政局、县人力社保局、县资源规划局、县交通运输局、县市场监管局、县统计局、嵊泗海关、县税务局、人行县支行、国网县供电公司、各乡镇人民政府</w:t>
            </w:r>
          </w:p>
        </w:tc>
        <w:tc>
          <w:tcPr>
            <w:tcW w:w="4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确保物流畅通，落实全国统一的通行证机制，保证公路、航道、港口畅通，切实协调解决企业物流不畅等问题。聚焦重要物资、重点企业、重点行业和重点部位，做到“一企一诉求一协调”。扶持重点行业、重点企业，确保水产加工行业物流畅通，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保障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洋山区域企业复工复产。</w:t>
            </w: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规上工业增加值、制造业投资、惠企政策直达兑现率、产业链预警畅链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、规上工业企业研发费用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扩投资优结构攻坚行动专班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县发改局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宋晖（县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委常委、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政府常务副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孙溪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（县府办副主任）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翁宇（县发改局局长）</w:t>
            </w:r>
          </w:p>
        </w:tc>
        <w:tc>
          <w:tcPr>
            <w:tcW w:w="26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县经信局、县财政局、县资源规划局、县住建局、县交通运输局、县农业农村局、市生态环境局嵊泗分局、县投促中心、人行县支行、各乡镇人民政府</w:t>
            </w:r>
          </w:p>
        </w:tc>
        <w:tc>
          <w:tcPr>
            <w:tcW w:w="44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实施清单管理、定期会商、统筹协同等工作机制，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推进“拔钉清障”百日攻坚行动，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加快推动重大项目开工落地，加快形成工作实物量，全力实施招商引资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一号工程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优化投资结构，适度超前谋划重大项目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固定资产投资增速、民间项目投资增速、重大项目投资完成率、重大项目新建项目开工率、2年内立项项目开工率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ind w:right="0" w:rightChars="0" w:firstLine="0" w:firstLineChars="0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ind w:right="0" w:rightChars="0" w:firstLine="0" w:firstLineChars="0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ind w:right="0" w:rightChars="0" w:firstLine="0" w:firstLineChars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3"/>
        <w:tblW w:w="14947" w:type="dxa"/>
        <w:tblInd w:w="-6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35"/>
        <w:gridCol w:w="1140"/>
        <w:gridCol w:w="1170"/>
        <w:gridCol w:w="2085"/>
        <w:gridCol w:w="2655"/>
        <w:gridCol w:w="4440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8" w:lineRule="auto"/>
              <w:ind w:left="139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7" w:lineRule="auto"/>
              <w:ind w:left="137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班名称</w:t>
            </w:r>
          </w:p>
        </w:tc>
        <w:tc>
          <w:tcPr>
            <w:tcW w:w="114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6" w:lineRule="auto"/>
              <w:ind w:left="61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59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10" w:lineRule="auto"/>
              <w:ind w:left="2652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班组成</w:t>
            </w:r>
          </w:p>
        </w:tc>
        <w:tc>
          <w:tcPr>
            <w:tcW w:w="444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7" w:lineRule="auto"/>
              <w:ind w:left="956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要工作内容</w:t>
            </w:r>
          </w:p>
        </w:tc>
        <w:tc>
          <w:tcPr>
            <w:tcW w:w="153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28" w:lineRule="auto"/>
              <w:ind w:left="219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点指标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left="392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0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left="696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line="203" w:lineRule="auto"/>
              <w:ind w:left="927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员单位</w:t>
            </w:r>
          </w:p>
        </w:tc>
        <w:tc>
          <w:tcPr>
            <w:tcW w:w="444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ind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稳外贸稳外资促消费攻坚行动专班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县经信局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陈完章（县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委常委、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政府副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王存斌（县府办副主任）、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傅纪明（县经信局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县台办、县发改局、县司法局、县财政局、县交通运输局、县统计局、县海洋与渔业局、县外办、嵊泗海关、人行县支行、县税务局、县贸促会、各乡镇人民政府</w:t>
            </w:r>
          </w:p>
        </w:tc>
        <w:tc>
          <w:tcPr>
            <w:tcW w:w="4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着力稳外贸，确保上半年出口降幅收窄，加大出口政策支持力度，保障外贸企业供应链畅通。着力稳外资，提升外商投资环境，确保外资企业平等享受助企纾困扶持政策。着力促消费，做好疫情管控放开后消费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回补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承接工作，有序发放餐饮住宿、文旅体育等消费券。</w:t>
            </w:r>
          </w:p>
        </w:tc>
        <w:tc>
          <w:tcPr>
            <w:tcW w:w="1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出口、外贸新业态出口、进口、实际利用外资、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社会消费品零售总额、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限上社会消费品零售总额增幅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限上批零销售额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优化要素保障攻坚行动专班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府办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宋晖（县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委常委、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政府常务副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虞海军（县府办主任）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孙溪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（县府办副主任）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翁宇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（县发改局局长）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罗奇辉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周明明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资源规划局局长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县发改局、县财政局、县资源规划局、人行县支行</w:t>
            </w:r>
          </w:p>
        </w:tc>
        <w:tc>
          <w:tcPr>
            <w:tcW w:w="4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加大对优质项目的资金、能源、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用地用海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等要素资源保障，加大政府性融资担保力度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有效畅通中小微企业融资渠道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降低融资成本，保障生产企业能源需求。</w:t>
            </w:r>
          </w:p>
        </w:tc>
        <w:tc>
          <w:tcPr>
            <w:tcW w:w="1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人民币存贷款余额、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普惠型小微企业贷款、制造业中长期贷款、土地供应总量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ind w:right="0" w:rightChars="0" w:firstLine="0" w:firstLineChars="0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783" w:h="11850" w:orient="landscape"/>
          <w:pgMar w:top="1701" w:right="1587" w:bottom="1417" w:left="1587" w:header="0" w:footer="1134" w:gutter="0"/>
          <w:cols w:space="0" w:num="1"/>
          <w:rtlGutter w:val="0"/>
          <w:docGrid w:linePitch="0" w:charSpace="0"/>
        </w:sectPr>
      </w:pPr>
    </w:p>
    <w:tbl>
      <w:tblPr>
        <w:tblStyle w:val="33"/>
        <w:tblW w:w="14807" w:type="dxa"/>
        <w:tblInd w:w="-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35"/>
        <w:gridCol w:w="1125"/>
        <w:gridCol w:w="1200"/>
        <w:gridCol w:w="2070"/>
        <w:gridCol w:w="2655"/>
        <w:gridCol w:w="4281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39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3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班名称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1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  <w:tc>
          <w:tcPr>
            <w:tcW w:w="59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652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班组成</w:t>
            </w:r>
          </w:p>
        </w:tc>
        <w:tc>
          <w:tcPr>
            <w:tcW w:w="428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956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要工作内容</w:t>
            </w:r>
          </w:p>
        </w:tc>
        <w:tc>
          <w:tcPr>
            <w:tcW w:w="154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9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5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点指标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392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3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96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4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2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6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员单位</w:t>
            </w:r>
          </w:p>
        </w:tc>
        <w:tc>
          <w:tcPr>
            <w:tcW w:w="428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6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 w:themeColor="text1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就业惠民生攻坚行动专班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县人力社保局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宋晖（县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委常委、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政府常务副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孙溪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（县府办副主任）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叶敏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（县人力社保局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罗奇辉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林挺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县发改局、县财政局、县税务局、县经信局、县应急管理局</w:t>
            </w:r>
          </w:p>
        </w:tc>
        <w:tc>
          <w:tcPr>
            <w:tcW w:w="4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全面落实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助企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纾困各项政策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分类帮扶重点群体多渠道就业，不断促进创业带动就业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全面保障企业用工留工，多维提升就业服务质量，保持就业大局稳定。抓好保供稳价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除险保安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15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城镇、渔农村常住居民人均可支配收入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</w:trPr>
        <w:tc>
          <w:tcPr>
            <w:tcW w:w="6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周国宏（县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政府副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徐贤力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（县府办副主任）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周铁军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</w:t>
            </w: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住建局局长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县人才办、县委网信办、县发改局、县资源规划局、县市场监管局、县统计局、人行县支行、县税务局、市公积金中心嵊泗分中心、各乡镇人民政府</w:t>
            </w:r>
          </w:p>
        </w:tc>
        <w:tc>
          <w:tcPr>
            <w:tcW w:w="42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努力实现房地产市场稳增长目标，加快降低首贷比例和按揭利率，落实住房公积金阶段性支持政策；在精准调控上下功夫，支持刚性和改善性住房需求，确保房地产市场保稳保平；建筑业总产值（亿元）增长率达20%，省内建筑业总产值（亿元）增长率达20%。</w:t>
            </w:r>
          </w:p>
        </w:tc>
        <w:tc>
          <w:tcPr>
            <w:tcW w:w="15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建筑业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  <w:bookmarkStart w:id="0" w:name="_GoBack"/>
      <w:bookmarkEnd w:id="0"/>
    </w:p>
    <w:sectPr>
      <w:footerReference r:id="rId4" w:type="default"/>
      <w:pgSz w:w="16783" w:h="11850" w:orient="landscape"/>
      <w:pgMar w:top="1587" w:right="1701" w:bottom="1587" w:left="1417" w:header="0" w:footer="113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291">
    <w:nsid w:val="FFFFFFFB"/>
    <w:multiLevelType w:val="multilevel"/>
    <w:tmpl w:val="FFFFFFFB"/>
    <w:lvl w:ilvl="0" w:tentative="1">
      <w:start w:val="4"/>
      <w:numFmt w:val="decimal"/>
      <w:lvlText w:val="%1"/>
      <w:legacy w:legacy="1" w:legacySpace="144" w:legacyIndent="0"/>
      <w:lvlJc w:val="left"/>
    </w:lvl>
    <w:lvl w:ilvl="1" w:tentative="1">
      <w:start w:val="3"/>
      <w:numFmt w:val="decimal"/>
      <w:lvlText w:val="%1.%2"/>
      <w:legacy w:legacy="1" w:legacySpace="144" w:legacyIndent="0"/>
      <w:lvlJc w:val="left"/>
    </w:lvl>
    <w:lvl w:ilvl="2" w:tentative="1">
      <w:start w:val="1"/>
      <w:numFmt w:val="decimal"/>
      <w:lvlText w:val="%1.%2.%3"/>
      <w:legacy w:legacy="1" w:legacySpace="144" w:legacyIndent="0"/>
      <w:lvlJc w:val="left"/>
    </w:lvl>
    <w:lvl w:ilvl="3" w:tentative="1">
      <w:start w:val="1"/>
      <w:numFmt w:val="decimal"/>
      <w:lvlText w:val="%1.%2.%3.%4"/>
      <w:legacy w:legacy="1" w:legacySpace="144" w:legacyIndent="0"/>
      <w:lvlJc w:val="left"/>
    </w:lvl>
    <w:lvl w:ilvl="4" w:tentative="1">
      <w:start w:val="1"/>
      <w:numFmt w:val="decimal"/>
      <w:lvlText w:val="%1.%2.%3.%4.%5"/>
      <w:legacy w:legacy="1" w:legacySpace="144" w:legacyIndent="0"/>
      <w:lvlJc w:val="left"/>
    </w:lvl>
    <w:lvl w:ilvl="5" w:tentative="1">
      <w:start w:val="1"/>
      <w:numFmt w:val="decimal"/>
      <w:pStyle w:val="6"/>
      <w:lvlText w:val="%1.%2.%3.%4.%5.%6"/>
      <w:legacy w:legacy="1" w:legacySpace="144" w:legacyIndent="0"/>
      <w:lvlJc w:val="left"/>
    </w:lvl>
    <w:lvl w:ilvl="6" w:tentative="1">
      <w:start w:val="1"/>
      <w:numFmt w:val="decimal"/>
      <w:lvlText w:val="%1.%2.%3.%4.%5.%6.%7"/>
      <w:legacy w:legacy="1" w:legacySpace="144" w:legacyIndent="0"/>
      <w:lvlJc w:val="left"/>
    </w:lvl>
    <w:lvl w:ilvl="7" w:tentative="1">
      <w:start w:val="1"/>
      <w:numFmt w:val="decimal"/>
      <w:lvlText w:val="%1.%2.%3.%4.%5.%6.%7.%8"/>
      <w:legacy w:legacy="1" w:legacySpace="144" w:legacyIndent="0"/>
      <w:lvlJc w:val="left"/>
    </w:lvl>
    <w:lvl w:ilvl="8" w:tentative="1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4294967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20F0"/>
    <w:rsid w:val="01171D54"/>
    <w:rsid w:val="04F85210"/>
    <w:rsid w:val="073947AF"/>
    <w:rsid w:val="08881FF7"/>
    <w:rsid w:val="0916568C"/>
    <w:rsid w:val="09190241"/>
    <w:rsid w:val="0AA92B83"/>
    <w:rsid w:val="0B4565B2"/>
    <w:rsid w:val="0C5F4260"/>
    <w:rsid w:val="0D714F20"/>
    <w:rsid w:val="0D890FF9"/>
    <w:rsid w:val="0FB759C2"/>
    <w:rsid w:val="10700268"/>
    <w:rsid w:val="108F3F14"/>
    <w:rsid w:val="144C59FE"/>
    <w:rsid w:val="17F158F2"/>
    <w:rsid w:val="18C34721"/>
    <w:rsid w:val="198009D5"/>
    <w:rsid w:val="19A146CB"/>
    <w:rsid w:val="1AD63AFD"/>
    <w:rsid w:val="1B271C36"/>
    <w:rsid w:val="1BCA6A25"/>
    <w:rsid w:val="1CD47B41"/>
    <w:rsid w:val="1E1A4EAB"/>
    <w:rsid w:val="1E374999"/>
    <w:rsid w:val="1FBA78EE"/>
    <w:rsid w:val="20306893"/>
    <w:rsid w:val="206F25F2"/>
    <w:rsid w:val="20DC5F06"/>
    <w:rsid w:val="21C252B6"/>
    <w:rsid w:val="21EA62F2"/>
    <w:rsid w:val="223C097D"/>
    <w:rsid w:val="24F2272A"/>
    <w:rsid w:val="25217B3A"/>
    <w:rsid w:val="26CA1989"/>
    <w:rsid w:val="28550436"/>
    <w:rsid w:val="294D2EE1"/>
    <w:rsid w:val="29B378B0"/>
    <w:rsid w:val="29F949EA"/>
    <w:rsid w:val="2A2A491E"/>
    <w:rsid w:val="2B853A19"/>
    <w:rsid w:val="2D4D4440"/>
    <w:rsid w:val="2D552B29"/>
    <w:rsid w:val="2EC94703"/>
    <w:rsid w:val="30582C4E"/>
    <w:rsid w:val="30EF5682"/>
    <w:rsid w:val="310F72CB"/>
    <w:rsid w:val="319831AB"/>
    <w:rsid w:val="32757659"/>
    <w:rsid w:val="33493CA8"/>
    <w:rsid w:val="357D1F49"/>
    <w:rsid w:val="35C21718"/>
    <w:rsid w:val="363C08E0"/>
    <w:rsid w:val="371A3D58"/>
    <w:rsid w:val="37770636"/>
    <w:rsid w:val="3BA23963"/>
    <w:rsid w:val="3E973EED"/>
    <w:rsid w:val="3F3B74E1"/>
    <w:rsid w:val="41774E42"/>
    <w:rsid w:val="41F00559"/>
    <w:rsid w:val="434D6D39"/>
    <w:rsid w:val="43543261"/>
    <w:rsid w:val="43BD3A96"/>
    <w:rsid w:val="44926BD6"/>
    <w:rsid w:val="461E29C2"/>
    <w:rsid w:val="463D1BA1"/>
    <w:rsid w:val="46FC51F1"/>
    <w:rsid w:val="47CC1A93"/>
    <w:rsid w:val="490A27DB"/>
    <w:rsid w:val="49225115"/>
    <w:rsid w:val="4A5151D7"/>
    <w:rsid w:val="4BF45148"/>
    <w:rsid w:val="4D130CE1"/>
    <w:rsid w:val="4EF469DD"/>
    <w:rsid w:val="524643E0"/>
    <w:rsid w:val="541F321E"/>
    <w:rsid w:val="56724800"/>
    <w:rsid w:val="57CA6CE9"/>
    <w:rsid w:val="58100157"/>
    <w:rsid w:val="5862108A"/>
    <w:rsid w:val="59C02522"/>
    <w:rsid w:val="5AB32463"/>
    <w:rsid w:val="5D130265"/>
    <w:rsid w:val="5D3E35CE"/>
    <w:rsid w:val="5E6D165D"/>
    <w:rsid w:val="5EBF5A8B"/>
    <w:rsid w:val="60BF7558"/>
    <w:rsid w:val="61B63C03"/>
    <w:rsid w:val="6386234E"/>
    <w:rsid w:val="63EB0A03"/>
    <w:rsid w:val="64136687"/>
    <w:rsid w:val="64BA00B2"/>
    <w:rsid w:val="650A32AA"/>
    <w:rsid w:val="65382FC9"/>
    <w:rsid w:val="66CE6BE6"/>
    <w:rsid w:val="67311DED"/>
    <w:rsid w:val="67637AD5"/>
    <w:rsid w:val="67CD2C54"/>
    <w:rsid w:val="6B612BCD"/>
    <w:rsid w:val="6B6633D4"/>
    <w:rsid w:val="6CA344CE"/>
    <w:rsid w:val="6D625F0E"/>
    <w:rsid w:val="6E693776"/>
    <w:rsid w:val="71492A12"/>
    <w:rsid w:val="740F7564"/>
    <w:rsid w:val="75DE6274"/>
    <w:rsid w:val="77532D52"/>
    <w:rsid w:val="79B8415A"/>
    <w:rsid w:val="79C0723C"/>
    <w:rsid w:val="7A3A654B"/>
    <w:rsid w:val="7D9D2F5B"/>
    <w:rsid w:val="7DDF1839"/>
    <w:rsid w:val="7F9764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568" w:right="1236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579" w:lineRule="exact"/>
      <w:ind w:firstLine="800" w:firstLineChars="200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00" w:firstLineChars="200"/>
      <w:outlineLvl w:val="2"/>
    </w:pPr>
    <w:rPr>
      <w:rFonts w:ascii="Times New Roman" w:hAnsi="Times New Roman" w:eastAsia="仿宋_GB2312"/>
      <w:b/>
      <w:sz w:val="32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character" w:default="1" w:styleId="16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 First Indent"/>
    <w:basedOn w:val="8"/>
    <w:next w:val="1"/>
    <w:qFormat/>
    <w:uiPriority w:val="99"/>
    <w:pPr>
      <w:tabs>
        <w:tab w:val="left" w:pos="3420"/>
      </w:tabs>
      <w:ind w:firstLine="420" w:firstLineChars="100"/>
    </w:pPr>
  </w:style>
  <w:style w:type="paragraph" w:styleId="8">
    <w:name w:val="Body Text"/>
    <w:basedOn w:val="1"/>
    <w:next w:val="7"/>
    <w:qFormat/>
    <w:uiPriority w:val="0"/>
    <w:pPr>
      <w:tabs>
        <w:tab w:val="left" w:pos="3420"/>
      </w:tabs>
      <w:autoSpaceDE w:val="0"/>
      <w:autoSpaceDN w:val="0"/>
      <w:adjustRightInd w:val="0"/>
      <w:textAlignment w:val="baseline"/>
    </w:pPr>
    <w:rPr>
      <w:rFonts w:ascii="宋体"/>
      <w:sz w:val="32"/>
      <w:szCs w:val="20"/>
    </w:rPr>
  </w:style>
  <w:style w:type="paragraph" w:styleId="9">
    <w:name w:val="Body Text Indent"/>
    <w:basedOn w:val="1"/>
    <w:next w:val="2"/>
    <w:unhideWhenUsed/>
    <w:qFormat/>
    <w:uiPriority w:val="0"/>
    <w:pPr>
      <w:spacing w:after="120"/>
      <w:ind w:left="420" w:leftChars="200"/>
    </w:pPr>
  </w:style>
  <w:style w:type="paragraph" w:styleId="10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Body Text First Indent 2"/>
    <w:basedOn w:val="9"/>
    <w:next w:val="7"/>
    <w:unhideWhenUsed/>
    <w:qFormat/>
    <w:uiPriority w:val="0"/>
    <w:pPr>
      <w:ind w:firstLine="420" w:firstLineChars="200"/>
    </w:p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正文缩进1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23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customStyle="1" w:styleId="24">
    <w:name w:val="List Paragraph"/>
    <w:basedOn w:val="1"/>
    <w:qFormat/>
    <w:uiPriority w:val="0"/>
    <w:pPr>
      <w:ind w:firstLine="420" w:firstLineChars="200"/>
    </w:pPr>
  </w:style>
  <w:style w:type="paragraph" w:customStyle="1" w:styleId="25">
    <w:name w:val="1.标题"/>
    <w:basedOn w:val="1"/>
    <w:qFormat/>
    <w:uiPriority w:val="0"/>
    <w:pPr>
      <w:spacing w:line="660" w:lineRule="exact"/>
      <w:jc w:val="center"/>
    </w:pPr>
    <w:rPr>
      <w:rFonts w:eastAsia="方正小标宋简体" w:cs="Times New Roman"/>
      <w:b/>
      <w:sz w:val="44"/>
      <w:szCs w:val="22"/>
    </w:rPr>
  </w:style>
  <w:style w:type="paragraph" w:customStyle="1" w:styleId="26">
    <w:name w:val="3.正文"/>
    <w:basedOn w:val="1"/>
    <w:qFormat/>
    <w:uiPriority w:val="0"/>
    <w:pPr>
      <w:spacing w:line="660" w:lineRule="exact"/>
      <w:ind w:firstLine="200" w:firstLineChars="200"/>
    </w:pPr>
    <w:rPr>
      <w:rFonts w:eastAsia="仿宋_GB2312" w:cs="Times New Roman"/>
      <w:sz w:val="32"/>
      <w:szCs w:val="22"/>
    </w:rPr>
  </w:style>
  <w:style w:type="paragraph" w:customStyle="1" w:styleId="27">
    <w:name w:val="4.1一、"/>
    <w:basedOn w:val="1"/>
    <w:qFormat/>
    <w:uiPriority w:val="0"/>
    <w:pPr>
      <w:spacing w:line="660" w:lineRule="exact"/>
      <w:jc w:val="left"/>
    </w:pPr>
    <w:rPr>
      <w:rFonts w:eastAsia="黑体" w:cs="Times New Roman"/>
      <w:sz w:val="32"/>
      <w:szCs w:val="22"/>
    </w:rPr>
  </w:style>
  <w:style w:type="character" w:customStyle="1" w:styleId="28">
    <w:name w:val="NormalCharacter"/>
    <w:qFormat/>
    <w:uiPriority w:val="99"/>
  </w:style>
  <w:style w:type="character" w:customStyle="1" w:styleId="29">
    <w:name w:val="font9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0">
    <w:name w:val="大标题"/>
    <w:basedOn w:val="1"/>
    <w:qFormat/>
    <w:uiPriority w:val="0"/>
    <w:pPr>
      <w:autoSpaceDE/>
      <w:autoSpaceDN/>
      <w:spacing w:line="560" w:lineRule="exact"/>
      <w:jc w:val="center"/>
    </w:pPr>
    <w:rPr>
      <w:rFonts w:ascii="方正小标宋简体" w:eastAsia="方正小标宋简体" w:hAnsiTheme="minorHAnsi" w:cstheme="minorBidi"/>
      <w:kern w:val="2"/>
      <w:sz w:val="44"/>
      <w:szCs w:val="44"/>
      <w:lang w:eastAsia="zh-CN"/>
    </w:rPr>
  </w:style>
  <w:style w:type="paragraph" w:customStyle="1" w:styleId="31">
    <w:name w:val="政正文"/>
    <w:basedOn w:val="1"/>
    <w:qFormat/>
    <w:uiPriority w:val="0"/>
    <w:pPr>
      <w:autoSpaceDE/>
      <w:autoSpaceDN/>
      <w:spacing w:line="560" w:lineRule="exact"/>
      <w:ind w:firstLine="640" w:firstLineChars="200"/>
    </w:pPr>
    <w:rPr>
      <w:rFonts w:hAnsiTheme="minorHAnsi" w:cstheme="minorBidi"/>
      <w:kern w:val="2"/>
      <w:sz w:val="32"/>
      <w:szCs w:val="32"/>
      <w:lang w:eastAsia="zh-CN"/>
    </w:rPr>
  </w:style>
  <w:style w:type="paragraph" w:customStyle="1" w:styleId="32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等线"/>
      <w:sz w:val="24"/>
      <w:szCs w:val="22"/>
    </w:rPr>
  </w:style>
  <w:style w:type="table" w:customStyle="1" w:styleId="33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朱芬</cp:lastModifiedBy>
  <cp:lastPrinted>2022-06-09T06:56:00Z</cp:lastPrinted>
  <dcterms:modified xsi:type="dcterms:W3CDTF">2022-07-04T02:16:29Z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D43D29A0CFA84B7EA4BEBA763A2AAF2A</vt:lpwstr>
  </property>
</Properties>
</file>