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附件8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2021年嵊泗县政府投资项目（前期类）计划安排表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1708"/>
        <w:gridCol w:w="1127"/>
        <w:gridCol w:w="4394"/>
        <w:gridCol w:w="1418"/>
        <w:gridCol w:w="1470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 目 名 称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建设年限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总投资（万元）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 设 内 容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前期费用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县财政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980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680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spacing w:val="-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12"/>
                <w:kern w:val="0"/>
                <w:sz w:val="24"/>
              </w:rPr>
              <w:t>县交通运输局（2个）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沈家湾旅游集散中心二期工程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建设客运中心建筑面积约4000平方米及附属配套场地建设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金青二桥建设工程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新建菜园至金平跨海大桥一座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县住建局（1个）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蓝色海湾泗礁岛海岸带整治修复工程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海岸线清理及整治修复、基湖沙滩整治修复、青沙滨海生态湿地公园打造等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县卫健局（1个）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五龙卫生院建设工程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建设平战结合乡镇级医院一座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县教育局（1个）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西城区幼儿园建设工程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新建18班标准化幼儿园一座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县城投公司（2个）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中心渔港港区基础设施建设工程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建设道路、管网、渔用场地等港区配套设施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中柱山工业园区基础设施建设工程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2022—2023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建设园区道路、管网、停车场等配套设施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4" w:type="first"/>
      <w:footerReference r:id="rId3" w:type="default"/>
      <w:pgSz w:w="16838" w:h="11905" w:orient="landscape"/>
      <w:pgMar w:top="1531" w:right="2041" w:bottom="1531" w:left="1757" w:header="851" w:footer="1587" w:gutter="0"/>
      <w:cols w:space="720" w:num="1"/>
      <w:titlePg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10" w:right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4B7"/>
    <w:rsid w:val="10C87E2A"/>
    <w:rsid w:val="24FF4BF1"/>
    <w:rsid w:val="2B184863"/>
    <w:rsid w:val="39FF6D6B"/>
    <w:rsid w:val="3EAA6484"/>
    <w:rsid w:val="45350DFA"/>
    <w:rsid w:val="4E9C4AEE"/>
    <w:rsid w:val="60BB1E0A"/>
    <w:rsid w:val="637A7127"/>
    <w:rsid w:val="66421DCD"/>
    <w:rsid w:val="678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2021-03-02T08:07:00Z</dcterms:created>
  <dc:creator>°✿．Songle Travel 、</dc:creator>
  <cp:lastModifiedBy>°✿．Songle Travel 、</cp:lastModifiedBy>
  <dcterms:modified xsi:type="dcterms:W3CDTF">2021-03-02T08:12:45Z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