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outlineLvl w:val="0"/>
        <w:rPr>
          <w:rFonts w:hint="eastAsia" w:ascii="黑体" w:hAnsi="黑体" w:eastAsia="黑体" w:cs="黑体"/>
          <w:b/>
          <w:bCs/>
          <w:color w:val="000000"/>
          <w:spacing w:val="15"/>
          <w:kern w:val="0"/>
          <w:sz w:val="32"/>
          <w:szCs w:val="32"/>
        </w:rPr>
      </w:pPr>
      <w:r>
        <w:rPr>
          <w:rFonts w:hint="eastAsia" w:ascii="黑体" w:hAnsi="黑体" w:eastAsia="黑体" w:cs="黑体"/>
          <w:bCs/>
          <w:color w:val="000000"/>
          <w:spacing w:val="15"/>
          <w:kern w:val="0"/>
          <w:sz w:val="32"/>
          <w:szCs w:val="32"/>
        </w:rPr>
        <w:t>附件2</w:t>
      </w:r>
    </w:p>
    <w:p>
      <w:pPr>
        <w:spacing w:line="560" w:lineRule="exact"/>
        <w:jc w:val="center"/>
        <w:outlineLvl w:val="0"/>
        <w:rPr>
          <w:rFonts w:hint="eastAsia" w:ascii="方正小标宋简体" w:hAnsi="方正小标宋简体" w:eastAsia="方正小标宋简体" w:cs="方正小标宋简体"/>
          <w:color w:val="000000"/>
          <w:spacing w:val="15"/>
          <w:kern w:val="0"/>
          <w:sz w:val="44"/>
          <w:szCs w:val="44"/>
        </w:rPr>
      </w:pPr>
      <w:r>
        <w:rPr>
          <w:rFonts w:hint="eastAsia" w:ascii="方正小标宋简体" w:hAnsi="方正小标宋简体" w:eastAsia="方正小标宋简体" w:cs="方正小标宋简体"/>
          <w:color w:val="000000"/>
          <w:spacing w:val="15"/>
          <w:kern w:val="0"/>
          <w:sz w:val="44"/>
          <w:szCs w:val="44"/>
        </w:rPr>
        <w:t>嵊泗县创建省级园林城市指标体系责任分解表</w:t>
      </w:r>
    </w:p>
    <w:tbl>
      <w:tblPr>
        <w:tblStyle w:val="4"/>
        <w:tblW w:w="13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555"/>
        <w:gridCol w:w="2355"/>
        <w:gridCol w:w="6430"/>
        <w:gridCol w:w="20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kern w:val="0"/>
              </w:rPr>
            </w:pPr>
            <w:r>
              <w:rPr>
                <w:rFonts w:eastAsia="仿宋_GB2312"/>
                <w:b/>
                <w:kern w:val="0"/>
              </w:rPr>
              <w:t>类型</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5" w:leftChars="-50" w:right="-105" w:rightChars="-50"/>
              <w:jc w:val="center"/>
              <w:rPr>
                <w:rFonts w:eastAsia="仿宋_GB2312"/>
                <w:b/>
                <w:kern w:val="0"/>
              </w:rPr>
            </w:pPr>
            <w:r>
              <w:rPr>
                <w:rFonts w:eastAsia="仿宋_GB2312"/>
                <w:b/>
                <w:kern w:val="0"/>
              </w:rPr>
              <w:t>序号</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kern w:val="0"/>
              </w:rPr>
            </w:pPr>
            <w:r>
              <w:rPr>
                <w:rFonts w:eastAsia="仿宋_GB2312"/>
                <w:b/>
                <w:kern w:val="0"/>
              </w:rPr>
              <w:t>指标</w:t>
            </w: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jc w:val="center"/>
              <w:rPr>
                <w:rFonts w:eastAsia="仿宋_GB2312"/>
                <w:b/>
                <w:kern w:val="0"/>
              </w:rPr>
            </w:pPr>
            <w:r>
              <w:rPr>
                <w:rFonts w:eastAsia="仿宋_GB2312"/>
                <w:b/>
                <w:kern w:val="0"/>
              </w:rPr>
              <w:t>考核要求</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b/>
                <w:kern w:val="0"/>
              </w:rPr>
            </w:pPr>
            <w:r>
              <w:rPr>
                <w:rFonts w:eastAsia="仿宋_GB2312"/>
                <w:b/>
                <w:kern w:val="0"/>
              </w:rPr>
              <w:t>责任单位</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jc w:val="center"/>
              <w:rPr>
                <w:rFonts w:eastAsia="仿宋_GB2312"/>
                <w:b/>
                <w:kern w:val="0"/>
              </w:rPr>
            </w:pPr>
            <w:r>
              <w:rPr>
                <w:rFonts w:eastAsia="仿宋_GB2312"/>
                <w:b/>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49" w:type="dxa"/>
            <w:vMerge w:val="restart"/>
            <w:tcBorders>
              <w:top w:val="single" w:color="auto" w:sz="4" w:space="0"/>
              <w:left w:val="single" w:color="auto" w:sz="4" w:space="0"/>
              <w:right w:val="single" w:color="auto" w:sz="4" w:space="0"/>
            </w:tcBorders>
            <w:noWrap w:val="0"/>
            <w:vAlign w:val="center"/>
          </w:tcPr>
          <w:p>
            <w:pPr>
              <w:spacing w:line="280" w:lineRule="exact"/>
              <w:jc w:val="left"/>
              <w:rPr>
                <w:rFonts w:eastAsia="仿宋_GB2312"/>
                <w:b/>
                <w:kern w:val="0"/>
              </w:rPr>
            </w:pPr>
            <w:r>
              <w:rPr>
                <w:rFonts w:eastAsia="仿宋_GB2312"/>
                <w:b/>
                <w:kern w:val="0"/>
              </w:rPr>
              <w:t>一、综合管理（8）</w:t>
            </w:r>
          </w:p>
        </w:tc>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1</w:t>
            </w:r>
          </w:p>
        </w:tc>
        <w:tc>
          <w:tcPr>
            <w:tcW w:w="23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rPr>
              <w:t>城市园林绿化管理机构</w:t>
            </w: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①按照各级政府职能分工的要求，设立职能健全的园林绿化管理机构，依照相关法律法规有效行使园林绿化行业管理职能；</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县编委办</w:t>
            </w:r>
          </w:p>
        </w:tc>
        <w:tc>
          <w:tcPr>
            <w:tcW w:w="123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p>
        </w:tc>
        <w:tc>
          <w:tcPr>
            <w:tcW w:w="2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kern w:val="0"/>
              </w:rPr>
              <w:t>②专业管理机构领导层至少有1-2 位园林绿化专业（其中地级以上城市至少2 位）人员，并具有相应的城市园林绿化专业技术队伍，负责全市（县）园林绿化从规划设计、施工建设、竣工验收到养护管理的全过程指导服务与监督管理。</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县人力社保局</w:t>
            </w:r>
          </w:p>
          <w:p>
            <w:pPr>
              <w:tabs>
                <w:tab w:val="left" w:pos="1117"/>
              </w:tabs>
              <w:spacing w:line="280" w:lineRule="exact"/>
              <w:ind w:left="-105" w:leftChars="-50" w:right="-105" w:rightChars="-50"/>
              <w:jc w:val="center"/>
              <w:rPr>
                <w:rFonts w:eastAsia="仿宋_GB2312"/>
                <w:kern w:val="0"/>
              </w:rPr>
            </w:pPr>
            <w:r>
              <w:rPr>
                <w:rFonts w:eastAsia="仿宋_GB2312"/>
                <w:kern w:val="0"/>
              </w:rPr>
              <w:t>县委组织部</w:t>
            </w:r>
          </w:p>
        </w:tc>
        <w:tc>
          <w:tcPr>
            <w:tcW w:w="12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2</w:t>
            </w:r>
          </w:p>
        </w:tc>
        <w:tc>
          <w:tcPr>
            <w:tcW w:w="23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城市园林绿化建设维护专项资金</w:t>
            </w:r>
          </w:p>
        </w:tc>
        <w:tc>
          <w:tcPr>
            <w:tcW w:w="64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eastAsia="仿宋_GB2312"/>
              </w:rPr>
            </w:pPr>
            <w:r>
              <w:rPr>
                <w:rFonts w:eastAsia="仿宋_GB2312"/>
                <w:kern w:val="0"/>
              </w:rPr>
              <w:t>①政府财政预算中专门列项“城市园林绿化建设和维护资金”，保障园林绿化建设、专业化精细化养护管理及相关人员经费；</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县财政局</w:t>
            </w:r>
          </w:p>
        </w:tc>
        <w:tc>
          <w:tcPr>
            <w:tcW w:w="1232"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r>
              <w:rPr>
                <w:rFonts w:eastAsia="仿宋_GB2312"/>
                <w:kern w:val="0"/>
              </w:rPr>
              <w:t>②近2 年（含申报年）园林绿化建设资金保障到位，与本年度新建、改建及扩建园林绿化项目相适应；</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县财政局</w:t>
            </w:r>
          </w:p>
        </w:tc>
        <w:tc>
          <w:tcPr>
            <w:tcW w:w="1232" w:type="dxa"/>
            <w:vMerge w:val="continue"/>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p>
        </w:tc>
        <w:tc>
          <w:tcPr>
            <w:tcW w:w="2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kern w:val="0"/>
              </w:rPr>
              <w:t>③园林绿化养护资金与各类城市绿地总量相适应，且不低于当地园林绿化养护管理定额标准，并随物价指数和人工工资增长而合理增加。</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kern w:val="0"/>
              </w:rPr>
            </w:pPr>
            <w:r>
              <w:rPr>
                <w:rFonts w:eastAsia="仿宋_GB2312"/>
                <w:kern w:val="0"/>
              </w:rPr>
              <w:t>县财政局</w:t>
            </w:r>
          </w:p>
        </w:tc>
        <w:tc>
          <w:tcPr>
            <w:tcW w:w="1232" w:type="dxa"/>
            <w:vMerge w:val="continue"/>
            <w:tcBorders>
              <w:left w:val="single" w:color="auto" w:sz="4" w:space="0"/>
              <w:bottom w:val="single" w:color="auto" w:sz="4" w:space="0"/>
              <w:right w:val="single" w:color="auto" w:sz="4" w:space="0"/>
            </w:tcBorders>
            <w:noWrap w:val="0"/>
            <w:vAlign w:val="center"/>
          </w:tcPr>
          <w:p>
            <w:pPr>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3</w:t>
            </w:r>
          </w:p>
        </w:tc>
        <w:tc>
          <w:tcPr>
            <w:tcW w:w="2355"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rPr>
              <w:t>城市园林绿化科研能力</w:t>
            </w:r>
          </w:p>
        </w:tc>
        <w:tc>
          <w:tcPr>
            <w:tcW w:w="64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eastAsia="仿宋_GB2312"/>
              </w:rPr>
            </w:pPr>
            <w:r>
              <w:rPr>
                <w:rFonts w:eastAsia="仿宋_GB2312"/>
                <w:kern w:val="0"/>
              </w:rPr>
              <w:t>①具有以城市园林绿化研究、成果推广和科普宣传为主要工作内容的独立或合作模式的科研机构和生产基地，并具有与城市（区）规模、经济实力及发展需求相匹配的技术队伍，规章制度健全、管理规范、资金保障到位；</w:t>
            </w:r>
          </w:p>
        </w:tc>
        <w:tc>
          <w:tcPr>
            <w:tcW w:w="2030" w:type="dxa"/>
            <w:tcBorders>
              <w:top w:val="single" w:color="auto" w:sz="4" w:space="0"/>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县经信局</w:t>
            </w:r>
          </w:p>
        </w:tc>
        <w:tc>
          <w:tcPr>
            <w:tcW w:w="1232"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continue"/>
            <w:tcBorders>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80" w:lineRule="exact"/>
              <w:rPr>
                <w:rFonts w:eastAsia="仿宋_GB2312"/>
              </w:rPr>
            </w:pP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r>
              <w:rPr>
                <w:rFonts w:eastAsia="仿宋_GB2312"/>
                <w:kern w:val="0"/>
              </w:rPr>
              <w:t>②近2 年（含申报年）有园林科研项目成果在实际应用中得到推广；县城要求：近2年（含申报年）积极应用园林绿化新技术、新成果。</w:t>
            </w:r>
          </w:p>
        </w:tc>
        <w:tc>
          <w:tcPr>
            <w:tcW w:w="2030" w:type="dxa"/>
            <w:tcBorders>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县经信局</w:t>
            </w:r>
          </w:p>
        </w:tc>
        <w:tc>
          <w:tcPr>
            <w:tcW w:w="1232" w:type="dxa"/>
            <w:vMerge w:val="continue"/>
            <w:tcBorders>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9"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55" w:type="dxa"/>
            <w:vMerge w:val="continue"/>
            <w:tcBorders>
              <w:left w:val="single" w:color="auto" w:sz="4" w:space="0"/>
              <w:right w:val="single" w:color="auto" w:sz="4" w:space="0"/>
            </w:tcBorders>
            <w:noWrap w:val="0"/>
            <w:vAlign w:val="center"/>
          </w:tcPr>
          <w:p>
            <w:pPr>
              <w:spacing w:line="280" w:lineRule="exact"/>
              <w:jc w:val="center"/>
              <w:rPr>
                <w:rFonts w:hint="eastAsia" w:eastAsia="仿宋_GB2312"/>
                <w:kern w:val="0"/>
              </w:rPr>
            </w:pPr>
          </w:p>
        </w:tc>
        <w:tc>
          <w:tcPr>
            <w:tcW w:w="2355" w:type="dxa"/>
            <w:vMerge w:val="continue"/>
            <w:tcBorders>
              <w:left w:val="single" w:color="auto" w:sz="4" w:space="0"/>
              <w:right w:val="single" w:color="auto" w:sz="4" w:space="0"/>
            </w:tcBorders>
            <w:noWrap w:val="0"/>
            <w:vAlign w:val="center"/>
          </w:tcPr>
          <w:p>
            <w:pPr>
              <w:spacing w:line="280" w:lineRule="exact"/>
              <w:rPr>
                <w:rFonts w:eastAsia="仿宋_GB2312"/>
              </w:rPr>
            </w:pPr>
          </w:p>
        </w:tc>
        <w:tc>
          <w:tcPr>
            <w:tcW w:w="643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r>
              <w:rPr>
                <w:rFonts w:eastAsia="仿宋_GB2312"/>
                <w:kern w:val="0"/>
              </w:rPr>
              <w:t>③开展市花、市树研究及推广应用。开展植物造景专类技能比赛</w:t>
            </w:r>
          </w:p>
        </w:tc>
        <w:tc>
          <w:tcPr>
            <w:tcW w:w="2030" w:type="dxa"/>
            <w:tcBorders>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县自然资源和规划局</w:t>
            </w:r>
          </w:p>
        </w:tc>
        <w:tc>
          <w:tcPr>
            <w:tcW w:w="1232" w:type="dxa"/>
            <w:tcBorders>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bl>
    <w:p>
      <w:pPr>
        <w:widowControl/>
        <w:jc w:val="left"/>
        <w:rPr>
          <w:b/>
          <w:kern w:val="0"/>
        </w:rPr>
        <w:sectPr>
          <w:footerReference r:id="rId3" w:type="default"/>
          <w:footerReference r:id="rId4" w:type="even"/>
          <w:pgSz w:w="16838" w:h="11906" w:orient="landscape"/>
          <w:pgMar w:top="2041" w:right="1531" w:bottom="1757" w:left="1531" w:header="851" w:footer="1587" w:gutter="0"/>
          <w:cols w:space="720" w:num="1"/>
          <w:docGrid w:type="lines" w:linePitch="317" w:charSpace="0"/>
        </w:sectPr>
      </w:pPr>
    </w:p>
    <w:tbl>
      <w:tblPr>
        <w:tblStyle w:val="4"/>
        <w:tblW w:w="13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70"/>
        <w:gridCol w:w="1200"/>
        <w:gridCol w:w="1155"/>
        <w:gridCol w:w="6405"/>
        <w:gridCol w:w="207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b/>
                <w:kern w:val="0"/>
              </w:rPr>
            </w:pPr>
            <w:r>
              <w:rPr>
                <w:rFonts w:eastAsia="仿宋_GB2312"/>
                <w:b/>
                <w:kern w:val="0"/>
              </w:rPr>
              <w:t>一、综合管理（8）</w:t>
            </w:r>
          </w:p>
        </w:tc>
        <w:tc>
          <w:tcPr>
            <w:tcW w:w="57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4</w:t>
            </w:r>
          </w:p>
        </w:tc>
        <w:tc>
          <w:tcPr>
            <w:tcW w:w="2355" w:type="dxa"/>
            <w:gridSpan w:val="2"/>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kern w:val="0"/>
              </w:rPr>
            </w:pPr>
            <w:r>
              <w:rPr>
                <w:rFonts w:eastAsia="仿宋_GB2312"/>
              </w:rPr>
              <w:t>《城市绿地系统规划》编制实施</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eastAsia="仿宋_GB2312"/>
              </w:rPr>
            </w:pPr>
            <w:r>
              <w:rPr>
                <w:rFonts w:eastAsia="仿宋_GB2312"/>
                <w:kern w:val="0"/>
              </w:rPr>
              <w:t>①《城市县域总体规划》审批后原则上应在一年内完成《城市绿地系统规划》制（修）订工作；</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p>
            <w:pPr>
              <w:tabs>
                <w:tab w:val="left" w:pos="1117"/>
              </w:tabs>
              <w:spacing w:line="300" w:lineRule="exact"/>
              <w:ind w:left="-105" w:leftChars="-50" w:right="-105" w:rightChars="-50"/>
              <w:jc w:val="center"/>
              <w:rPr>
                <w:rFonts w:eastAsia="仿宋_GB2312"/>
                <w:kern w:val="0"/>
              </w:rPr>
            </w:pPr>
            <w:r>
              <w:rPr>
                <w:rFonts w:eastAsia="仿宋_GB2312"/>
                <w:kern w:val="0"/>
              </w:rPr>
              <w:t>县自然资源和规划局</w:t>
            </w:r>
          </w:p>
        </w:tc>
        <w:tc>
          <w:tcPr>
            <w:tcW w:w="1191" w:type="dxa"/>
            <w:vMerge w:val="restart"/>
            <w:tcBorders>
              <w:top w:val="single" w:color="auto" w:sz="4" w:space="0"/>
              <w:left w:val="single" w:color="auto" w:sz="4" w:space="0"/>
              <w:right w:val="single" w:color="auto" w:sz="4" w:space="0"/>
            </w:tcBorders>
            <w:noWrap w:val="0"/>
            <w:vAlign w:val="center"/>
          </w:tcPr>
          <w:p>
            <w:pPr>
              <w:tabs>
                <w:tab w:val="left" w:pos="1117"/>
              </w:tabs>
              <w:spacing w:line="300" w:lineRule="exact"/>
              <w:rPr>
                <w:rFonts w:eastAsia="仿宋_GB2312"/>
                <w:kern w:val="0"/>
              </w:rPr>
            </w:pPr>
            <w:r>
              <w:rPr>
                <w:rFonts w:eastAsia="仿宋_GB2312"/>
                <w:kern w:val="0"/>
              </w:rPr>
              <w:t>①为</w:t>
            </w:r>
            <w:r>
              <w:rPr>
                <w:rFonts w:eastAsia="仿宋_GB2312"/>
                <w:kern w:val="0"/>
                <w:u w:val="double"/>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b/>
                <w:kern w:val="0"/>
              </w:rPr>
            </w:pPr>
          </w:p>
        </w:tc>
        <w:tc>
          <w:tcPr>
            <w:tcW w:w="57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p>
        </w:tc>
        <w:tc>
          <w:tcPr>
            <w:tcW w:w="2355" w:type="dxa"/>
            <w:gridSpan w:val="2"/>
            <w:vMerge w:val="continue"/>
            <w:tcBorders>
              <w:left w:val="single" w:color="auto" w:sz="4" w:space="0"/>
              <w:bottom w:val="single" w:color="auto" w:sz="4" w:space="0"/>
              <w:right w:val="single" w:color="auto" w:sz="4" w:space="0"/>
            </w:tcBorders>
            <w:noWrap w:val="0"/>
            <w:vAlign w:val="center"/>
          </w:tcPr>
          <w:p>
            <w:pPr>
              <w:spacing w:line="300" w:lineRule="exact"/>
              <w:rPr>
                <w:rFonts w:eastAsia="仿宋_GB2312"/>
              </w:rPr>
            </w:pP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236"/>
              </w:tabs>
              <w:spacing w:line="300" w:lineRule="exact"/>
              <w:rPr>
                <w:rFonts w:eastAsia="仿宋_GB2312"/>
                <w:kern w:val="0"/>
              </w:rPr>
            </w:pPr>
            <w:r>
              <w:rPr>
                <w:rFonts w:eastAsia="仿宋_GB2312"/>
                <w:kern w:val="0"/>
              </w:rPr>
              <w:t>②《城市绿地系统规划》由具有相关规划资质或能力的单位编制（修订），与城市总体规划、控制性详细规划等相协调，并依法报批。</w:t>
            </w:r>
          </w:p>
          <w:p>
            <w:pPr>
              <w:tabs>
                <w:tab w:val="left" w:pos="236"/>
              </w:tabs>
              <w:spacing w:line="300" w:lineRule="exact"/>
              <w:rPr>
                <w:rFonts w:eastAsia="仿宋_GB2312"/>
                <w:kern w:val="0"/>
              </w:rPr>
            </w:pPr>
            <w:r>
              <w:rPr>
                <w:rFonts w:eastAsia="仿宋_GB2312"/>
              </w:rPr>
              <w:t>③绿地系统规划实施情况良好，适时开展规划实施评价</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p>
            <w:pPr>
              <w:tabs>
                <w:tab w:val="left" w:pos="1117"/>
              </w:tabs>
              <w:spacing w:line="300" w:lineRule="exact"/>
              <w:ind w:left="-105" w:leftChars="-50" w:right="-105" w:rightChars="-50"/>
              <w:jc w:val="center"/>
              <w:rPr>
                <w:rFonts w:eastAsia="仿宋_GB2312"/>
                <w:kern w:val="0"/>
              </w:rPr>
            </w:pPr>
          </w:p>
        </w:tc>
        <w:tc>
          <w:tcPr>
            <w:tcW w:w="1191" w:type="dxa"/>
            <w:vMerge w:val="continue"/>
            <w:tcBorders>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5</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城市绿线管理</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kern w:val="0"/>
              </w:rPr>
              <w:t>严格实施城市绿线管制制度，按照《城市（县城）绿线管理办法》</w:t>
            </w:r>
            <w:r>
              <w:rPr>
                <w:rFonts w:eastAsia="仿宋_GB2312"/>
                <w:spacing w:val="-6"/>
                <w:kern w:val="0"/>
              </w:rPr>
              <w:t>（建设部令第112 号）和《城市绿线划定技术规范》（GB/T51163-2016）要求划定绿线，</w:t>
            </w:r>
            <w:r>
              <w:rPr>
                <w:rFonts w:eastAsia="仿宋_GB2312"/>
                <w:kern w:val="0"/>
              </w:rPr>
              <w:t>并在两种以上的媒体上向社会公布，设立绿线公示牌或绿线界碑，向社会公布四至边界，严禁侵占。</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p>
            <w:pPr>
              <w:tabs>
                <w:tab w:val="left" w:pos="1117"/>
              </w:tabs>
              <w:spacing w:line="300" w:lineRule="exact"/>
              <w:ind w:left="-105" w:leftChars="-50" w:right="-105" w:rightChars="-50"/>
              <w:jc w:val="center"/>
              <w:rPr>
                <w:rFonts w:eastAsia="仿宋_GB2312"/>
                <w:kern w:val="0"/>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u w:val="double"/>
              </w:rPr>
            </w:pPr>
            <w:r>
              <w:rPr>
                <w:rFonts w:eastAsia="仿宋_GB2312"/>
                <w:kern w:val="0"/>
                <w:u w:val="double"/>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6</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城市园林绿化制度建设</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kern w:val="0"/>
              </w:rPr>
              <w:t>建立健全绿线管理、建设管理、养护管理、执法管理、城市（县城）生态保护、生物多样性保护、古树名木保护、义务植树等城市园林绿化法规、标准、制度。</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县自然资源和规划局</w:t>
            </w:r>
          </w:p>
          <w:p>
            <w:pPr>
              <w:tabs>
                <w:tab w:val="left" w:pos="1117"/>
              </w:tabs>
              <w:spacing w:line="30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7</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城市园林绿化管理信息技术应用</w:t>
            </w:r>
          </w:p>
        </w:tc>
        <w:tc>
          <w:tcPr>
            <w:tcW w:w="6405" w:type="dxa"/>
            <w:tcBorders>
              <w:top w:val="single" w:color="auto" w:sz="4" w:space="0"/>
              <w:left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①建立城市园林绿化专项数字化信息管理系统（城市）或园林绿化信息数据库（城市）、信息发布与社会服务信息共享平台，并有效运行；可供市民查询，保障公众参与和社会监督；</w:t>
            </w:r>
          </w:p>
        </w:tc>
        <w:tc>
          <w:tcPr>
            <w:tcW w:w="2070" w:type="dxa"/>
            <w:tcBorders>
              <w:top w:val="single" w:color="auto" w:sz="4" w:space="0"/>
              <w:left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p>
            <w:pPr>
              <w:tabs>
                <w:tab w:val="left" w:pos="1117"/>
              </w:tabs>
              <w:spacing w:line="300" w:lineRule="exact"/>
              <w:ind w:left="-105" w:leftChars="-50" w:right="-105" w:rightChars="-50"/>
              <w:jc w:val="center"/>
              <w:rPr>
                <w:rFonts w:eastAsia="仿宋_GB2312"/>
                <w:kern w:val="0"/>
              </w:rPr>
            </w:pPr>
            <w:r>
              <w:rPr>
                <w:rFonts w:eastAsia="仿宋_GB2312"/>
                <w:kern w:val="0"/>
              </w:rPr>
              <w:t>县大数据管理中心</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8</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公众对城市园林绿化的满意率（%）</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≥70%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县统计局</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b/>
                <w:kern w:val="0"/>
              </w:rPr>
            </w:pPr>
            <w:r>
              <w:rPr>
                <w:rFonts w:eastAsia="仿宋_GB2312"/>
                <w:b/>
                <w:kern w:val="0"/>
              </w:rPr>
              <w:t>二、绿地</w:t>
            </w:r>
          </w:p>
          <w:p>
            <w:pPr>
              <w:spacing w:line="300" w:lineRule="exact"/>
              <w:rPr>
                <w:rFonts w:eastAsia="仿宋_GB2312"/>
                <w:b/>
                <w:kern w:val="0"/>
              </w:rPr>
            </w:pPr>
            <w:r>
              <w:rPr>
                <w:rFonts w:eastAsia="仿宋_GB2312"/>
                <w:b/>
                <w:kern w:val="0"/>
              </w:rPr>
              <w:t>建设（14）</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1</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eastAsia="仿宋_GB2312"/>
                <w:kern w:val="0"/>
              </w:rPr>
              <w:t>建成区绿化覆盖率（%）</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≥37%</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县绿化建设指挥部县综合行政执法局</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2</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建成区绿地率（%）</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≥32%</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县绿化建设指挥部县综合行政执法局</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u w:val="single"/>
              </w:rPr>
            </w:pPr>
            <w:r>
              <w:rPr>
                <w:rFonts w:eastAsia="仿宋_GB2312"/>
                <w:kern w:val="0"/>
                <w:u w:val="single"/>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eastAsia="仿宋_GB2312"/>
              </w:rPr>
              <w:t>人均公园绿地面积（㎡/人）</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人均建设用地小于等于105㎡的城市</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left"/>
              <w:rPr>
                <w:rFonts w:eastAsia="仿宋_GB2312"/>
                <w:kern w:val="0"/>
              </w:rPr>
            </w:pPr>
            <w:r>
              <w:rPr>
                <w:rFonts w:eastAsia="仿宋_GB2312"/>
              </w:rPr>
              <w:t>≥10.00㎡/人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县绿化建设指挥部县综合行政执法局</w:t>
            </w:r>
          </w:p>
          <w:p>
            <w:pPr>
              <w:tabs>
                <w:tab w:val="left" w:pos="1117"/>
              </w:tabs>
              <w:spacing w:line="300" w:lineRule="exact"/>
              <w:jc w:val="center"/>
              <w:rPr>
                <w:rFonts w:eastAsia="仿宋_GB2312"/>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考核范围为建成区</w:t>
            </w:r>
          </w:p>
        </w:tc>
      </w:tr>
    </w:tbl>
    <w:p>
      <w:pPr>
        <w:spacing w:line="280" w:lineRule="exact"/>
        <w:rPr>
          <w:rFonts w:hint="eastAsia" w:hAnsi="宋体"/>
          <w:b/>
          <w:kern w:val="0"/>
        </w:rPr>
        <w:sectPr>
          <w:footerReference r:id="rId5" w:type="default"/>
          <w:footerReference r:id="rId6" w:type="even"/>
          <w:pgSz w:w="16838" w:h="11906" w:orient="landscape"/>
          <w:pgMar w:top="2041" w:right="1531" w:bottom="1757" w:left="1531" w:header="851" w:footer="1587" w:gutter="0"/>
          <w:cols w:space="720" w:num="1"/>
          <w:docGrid w:type="lines" w:linePitch="317" w:charSpace="0"/>
        </w:sectPr>
      </w:pPr>
    </w:p>
    <w:tbl>
      <w:tblPr>
        <w:tblStyle w:val="4"/>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585"/>
        <w:gridCol w:w="2355"/>
        <w:gridCol w:w="6375"/>
        <w:gridCol w:w="207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b/>
                <w:kern w:val="0"/>
              </w:rPr>
            </w:pPr>
            <w:r>
              <w:rPr>
                <w:rFonts w:eastAsia="仿宋_GB2312"/>
                <w:b/>
                <w:kern w:val="0"/>
              </w:rPr>
              <w:t>二、绿地</w:t>
            </w:r>
          </w:p>
          <w:p>
            <w:pPr>
              <w:spacing w:line="280" w:lineRule="exact"/>
              <w:jc w:val="left"/>
              <w:rPr>
                <w:rFonts w:eastAsia="仿宋_GB2312"/>
                <w:b/>
                <w:kern w:val="0"/>
              </w:rPr>
            </w:pPr>
            <w:r>
              <w:rPr>
                <w:rFonts w:eastAsia="仿宋_GB2312"/>
                <w:b/>
                <w:kern w:val="0"/>
              </w:rPr>
              <w:t>建设（14）</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4</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公园绿地服务半径覆盖率（%）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≥85%；</w:t>
            </w:r>
          </w:p>
          <w:p>
            <w:pPr>
              <w:autoSpaceDE w:val="0"/>
              <w:autoSpaceDN w:val="0"/>
              <w:adjustRightInd w:val="0"/>
              <w:spacing w:line="280" w:lineRule="exact"/>
              <w:jc w:val="left"/>
              <w:rPr>
                <w:rFonts w:eastAsia="仿宋_GB2312"/>
                <w:kern w:val="0"/>
              </w:rPr>
            </w:pPr>
            <w:r>
              <w:rPr>
                <w:rFonts w:eastAsia="仿宋_GB2312"/>
                <w:kern w:val="0"/>
              </w:rPr>
              <w:t>≥85%，</w:t>
            </w:r>
            <w:r>
              <w:rPr>
                <w:rFonts w:eastAsia="仿宋_GB2312"/>
              </w:rPr>
              <w:t>县城按照：2000㎡以上公园绿地按照500m服务半径考核，1000-2000（含）㎡公园绿地按照300m服务半径考核；历史文化街区参照《城市园林绿化评价标准》计算。</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rPr>
            </w:pPr>
            <w:r>
              <w:rPr>
                <w:rFonts w:eastAsia="仿宋_GB2312"/>
                <w:u w:val="single"/>
              </w:rPr>
              <w:t>否决项，</w:t>
            </w:r>
            <w:r>
              <w:rPr>
                <w:rFonts w:eastAsia="仿宋_GB2312"/>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5</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万人拥有综合公园指数</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rPr>
              <w:t>②县城：符合《公园设计规范》要求的综合公园</w:t>
            </w:r>
            <w:r>
              <w:rPr>
                <w:rFonts w:eastAsia="仿宋_GB2312"/>
                <w:kern w:val="0"/>
              </w:rPr>
              <w:t>≥1个。</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6</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建成区绿化覆盖面积中乔、灌木所占比率（%）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≥60%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仅考核城市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7</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城市各城区绿地率最低值（%）</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≥22%</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仅考核城市，范围为建成区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8</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城市各城区人均公园绿地面积最低值</w:t>
            </w:r>
            <w:r>
              <w:rPr>
                <w:rFonts w:eastAsia="仿宋_GB2312"/>
              </w:rPr>
              <w:t>（㎡/人）</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≥4.00㎡/人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u w:val="double"/>
              </w:rPr>
            </w:pPr>
            <w:r>
              <w:rPr>
                <w:rFonts w:eastAsia="仿宋_GB2312"/>
                <w:kern w:val="0"/>
              </w:rPr>
              <w:t>*</w:t>
            </w:r>
            <w:r>
              <w:rPr>
                <w:rFonts w:eastAsia="仿宋_GB2312"/>
                <w:u w:val="double"/>
              </w:rPr>
              <w:t>否决项</w:t>
            </w:r>
          </w:p>
          <w:p>
            <w:pPr>
              <w:tabs>
                <w:tab w:val="left" w:pos="1117"/>
              </w:tabs>
              <w:spacing w:line="260" w:lineRule="exact"/>
              <w:rPr>
                <w:rFonts w:eastAsia="仿宋_GB2312"/>
              </w:rPr>
            </w:pPr>
            <w:r>
              <w:rPr>
                <w:rFonts w:eastAsia="仿宋_GB2312"/>
                <w:kern w:val="0"/>
              </w:rPr>
              <w:t>仅考核城市，范围为建成区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rPr>
            </w:pPr>
            <w:r>
              <w:rPr>
                <w:rFonts w:hint="eastAsia" w:eastAsia="仿宋_GB2312"/>
                <w:kern w:val="0"/>
              </w:rPr>
              <w:t>9</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城市新建、改建居住区绿地达标率（%）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≥80%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县自然资源和规划局</w:t>
            </w:r>
          </w:p>
          <w:p>
            <w:pPr>
              <w:tabs>
                <w:tab w:val="left" w:pos="1117"/>
              </w:tabs>
              <w:spacing w:line="280" w:lineRule="exact"/>
              <w:ind w:right="-105" w:rightChars="-50"/>
              <w:jc w:val="center"/>
              <w:rPr>
                <w:rFonts w:eastAsia="仿宋_GB2312"/>
                <w:kern w:val="0"/>
              </w:rPr>
            </w:pPr>
            <w:r>
              <w:rPr>
                <w:rFonts w:eastAsia="仿宋_GB2312"/>
                <w:kern w:val="0"/>
              </w:rPr>
              <w:t>县住建局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10</w:t>
            </w:r>
          </w:p>
        </w:tc>
        <w:tc>
          <w:tcPr>
            <w:tcW w:w="235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80" w:lineRule="exact"/>
              <w:jc w:val="left"/>
              <w:rPr>
                <w:rFonts w:eastAsia="仿宋_GB2312"/>
                <w:kern w:val="0"/>
              </w:rPr>
            </w:pPr>
            <w:r>
              <w:rPr>
                <w:rFonts w:eastAsia="仿宋_GB2312"/>
                <w:spacing w:val="-17"/>
                <w:kern w:val="0"/>
              </w:rPr>
              <w:t>园林式居住区（单位）、达标率（%）或年提升率（%）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eastAsia="仿宋_GB2312"/>
                <w:kern w:val="0"/>
              </w:rPr>
            </w:pPr>
            <w:r>
              <w:rPr>
                <w:rFonts w:eastAsia="仿宋_GB2312"/>
                <w:kern w:val="0"/>
              </w:rPr>
              <w:t>达标率≥50%或年提升率≥10%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仅考核建成区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11</w:t>
            </w:r>
          </w:p>
        </w:tc>
        <w:tc>
          <w:tcPr>
            <w:tcW w:w="235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80" w:lineRule="exact"/>
              <w:jc w:val="left"/>
              <w:rPr>
                <w:rFonts w:eastAsia="仿宋_GB2312"/>
                <w:kern w:val="0"/>
              </w:rPr>
            </w:pPr>
            <w:r>
              <w:rPr>
                <w:rFonts w:eastAsia="仿宋_GB2312"/>
                <w:kern w:val="0"/>
              </w:rPr>
              <w:t>城市道路绿化普及率（%）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eastAsia="仿宋_GB2312"/>
                <w:kern w:val="0"/>
              </w:rPr>
            </w:pPr>
            <w:r>
              <w:rPr>
                <w:rFonts w:eastAsia="仿宋_GB2312"/>
                <w:kern w:val="0"/>
              </w:rPr>
              <w:t>≥85%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12</w:t>
            </w:r>
          </w:p>
        </w:tc>
        <w:tc>
          <w:tcPr>
            <w:tcW w:w="235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80" w:lineRule="exact"/>
              <w:jc w:val="left"/>
              <w:rPr>
                <w:rFonts w:eastAsia="仿宋_GB2312"/>
                <w:kern w:val="0"/>
              </w:rPr>
            </w:pPr>
            <w:r>
              <w:rPr>
                <w:rFonts w:eastAsia="仿宋_GB2312"/>
                <w:kern w:val="0"/>
              </w:rPr>
              <w:t>城市道路绿地达标率（%）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eastAsia="仿宋_GB2312"/>
                <w:kern w:val="0"/>
              </w:rPr>
            </w:pPr>
            <w:r>
              <w:rPr>
                <w:rFonts w:eastAsia="仿宋_GB2312"/>
                <w:kern w:val="0"/>
              </w:rPr>
              <w:t>≥80%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13</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城市防护绿地实施率（%）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≥70%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14</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河道绿化普及率（%）</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≥80%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县农业农村局</w:t>
            </w:r>
          </w:p>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60" w:lineRule="exact"/>
              <w:rPr>
                <w:rFonts w:eastAsia="仿宋_GB2312"/>
                <w:kern w:val="0"/>
              </w:rPr>
            </w:pPr>
            <w:r>
              <w:rPr>
                <w:rFonts w:eastAsia="仿宋_GB2312"/>
                <w:kern w:val="0"/>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7"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15</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植物园建设</w:t>
            </w:r>
          </w:p>
        </w:tc>
        <w:tc>
          <w:tcPr>
            <w:tcW w:w="63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县城不作强制要求</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bl>
    <w:p>
      <w:pPr>
        <w:widowControl/>
        <w:jc w:val="left"/>
        <w:rPr>
          <w:b/>
          <w:kern w:val="0"/>
        </w:rPr>
        <w:sectPr>
          <w:footerReference r:id="rId7" w:type="default"/>
          <w:footerReference r:id="rId8" w:type="even"/>
          <w:pgSz w:w="16838" w:h="11906" w:orient="landscape"/>
          <w:pgMar w:top="2041" w:right="1531" w:bottom="1757" w:left="1531" w:header="851" w:footer="1587" w:gutter="0"/>
          <w:cols w:space="720" w:num="1"/>
          <w:docGrid w:type="lines" w:linePitch="317" w:charSpace="0"/>
        </w:sectPr>
      </w:pPr>
    </w:p>
    <w:tbl>
      <w:tblPr>
        <w:tblStyle w:val="4"/>
        <w:tblW w:w="13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585"/>
        <w:gridCol w:w="2340"/>
        <w:gridCol w:w="6419"/>
        <w:gridCol w:w="204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37" w:type="dxa"/>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b/>
                <w:kern w:val="0"/>
              </w:rPr>
            </w:pPr>
            <w:r>
              <w:rPr>
                <w:rFonts w:eastAsia="仿宋_GB2312"/>
                <w:b/>
                <w:kern w:val="0"/>
              </w:rPr>
              <w:t>三、建设管控（11）</w:t>
            </w:r>
          </w:p>
        </w:tc>
        <w:tc>
          <w:tcPr>
            <w:tcW w:w="58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1</w:t>
            </w:r>
          </w:p>
        </w:tc>
        <w:tc>
          <w:tcPr>
            <w:tcW w:w="2340" w:type="dxa"/>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园林绿化建设综合评价</w:t>
            </w:r>
          </w:p>
        </w:tc>
        <w:tc>
          <w:tcPr>
            <w:tcW w:w="6419"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r>
              <w:rPr>
                <w:rFonts w:eastAsia="仿宋_GB2312"/>
              </w:rPr>
              <w:t>县城考核：</w:t>
            </w:r>
            <w:r>
              <w:rPr>
                <w:rFonts w:eastAsia="仿宋_GB2312"/>
                <w:kern w:val="0"/>
              </w:rPr>
              <w:t>绿地系统规划执行和建设管理情况，主要有：</w:t>
            </w:r>
            <w:r>
              <w:rPr>
                <w:rFonts w:eastAsia="仿宋_GB2312"/>
              </w:rPr>
              <w:t>①绿地系统规划得到有效执行，绿地建设符合规划；</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县住建局</w:t>
            </w:r>
          </w:p>
        </w:tc>
        <w:tc>
          <w:tcPr>
            <w:tcW w:w="1205" w:type="dxa"/>
            <w:vMerge w:val="restart"/>
            <w:tcBorders>
              <w:top w:val="single" w:color="auto" w:sz="4" w:space="0"/>
              <w:left w:val="single" w:color="auto" w:sz="4" w:space="0"/>
              <w:right w:val="single" w:color="auto" w:sz="4" w:space="0"/>
            </w:tcBorders>
            <w:noWrap w:val="0"/>
            <w:vAlign w:val="center"/>
          </w:tcPr>
          <w:p>
            <w:pPr>
              <w:tabs>
                <w:tab w:val="left" w:pos="1117"/>
              </w:tabs>
              <w:spacing w:line="300" w:lineRule="exact"/>
              <w:rPr>
                <w:rFonts w:eastAsia="仿宋_GB2312"/>
                <w:kern w:val="0"/>
              </w:rPr>
            </w:pPr>
          </w:p>
          <w:p>
            <w:pPr>
              <w:tabs>
                <w:tab w:val="left" w:pos="1117"/>
              </w:tabs>
              <w:spacing w:line="300" w:lineRule="exact"/>
              <w:rPr>
                <w:rFonts w:eastAsia="仿宋_GB2312"/>
                <w:kern w:val="0"/>
              </w:rPr>
            </w:pPr>
            <w:r>
              <w:rPr>
                <w:rFonts w:eastAsia="仿宋_GB2312"/>
                <w:kern w:val="0"/>
              </w:rPr>
              <w:t>考查范围为城市规划区。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37" w:type="dxa"/>
            <w:vMerge w:val="continue"/>
            <w:tcBorders>
              <w:left w:val="single" w:color="auto" w:sz="4" w:space="0"/>
              <w:right w:val="single" w:color="auto" w:sz="4" w:space="0"/>
            </w:tcBorders>
            <w:noWrap w:val="0"/>
            <w:vAlign w:val="center"/>
          </w:tcPr>
          <w:p>
            <w:pPr>
              <w:spacing w:line="300" w:lineRule="exact"/>
              <w:rPr>
                <w:rFonts w:eastAsia="仿宋_GB2312"/>
                <w:b/>
                <w:kern w:val="0"/>
              </w:rPr>
            </w:pPr>
          </w:p>
        </w:tc>
        <w:tc>
          <w:tcPr>
            <w:tcW w:w="585" w:type="dxa"/>
            <w:vMerge w:val="continue"/>
            <w:tcBorders>
              <w:left w:val="single" w:color="auto" w:sz="4" w:space="0"/>
              <w:right w:val="single" w:color="auto" w:sz="4" w:space="0"/>
            </w:tcBorders>
            <w:noWrap w:val="0"/>
            <w:vAlign w:val="center"/>
          </w:tcPr>
          <w:p>
            <w:pPr>
              <w:spacing w:line="300" w:lineRule="exact"/>
              <w:jc w:val="center"/>
              <w:rPr>
                <w:rFonts w:eastAsia="仿宋_GB2312"/>
                <w:kern w:val="0"/>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kern w:val="0"/>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sz w:val="24"/>
              </w:rPr>
            </w:pPr>
            <w:r>
              <w:rPr>
                <w:rFonts w:eastAsia="仿宋_GB2312"/>
              </w:rPr>
              <w:t>②绿化建设成果得到有效保护，规划绿地性质无改变；</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continue"/>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7" w:type="dxa"/>
            <w:vMerge w:val="continue"/>
            <w:tcBorders>
              <w:left w:val="single" w:color="auto" w:sz="4" w:space="0"/>
              <w:right w:val="single" w:color="auto" w:sz="4" w:space="0"/>
            </w:tcBorders>
            <w:noWrap w:val="0"/>
            <w:vAlign w:val="center"/>
          </w:tcPr>
          <w:p>
            <w:pPr>
              <w:spacing w:line="300" w:lineRule="exact"/>
              <w:rPr>
                <w:rFonts w:eastAsia="仿宋_GB2312"/>
                <w:b/>
                <w:kern w:val="0"/>
              </w:rPr>
            </w:pPr>
          </w:p>
        </w:tc>
        <w:tc>
          <w:tcPr>
            <w:tcW w:w="58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p>
        </w:tc>
        <w:tc>
          <w:tcPr>
            <w:tcW w:w="2340" w:type="dxa"/>
            <w:vMerge w:val="continue"/>
            <w:tcBorders>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sz w:val="24"/>
              </w:rPr>
            </w:pPr>
            <w:r>
              <w:rPr>
                <w:rFonts w:eastAsia="仿宋_GB2312"/>
              </w:rPr>
              <w:t>③园林绿化主管部门依法对公园绿地等重要的公共绿地建设项目实施监管。</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continue"/>
            <w:tcBorders>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2</w:t>
            </w:r>
          </w:p>
        </w:tc>
        <w:tc>
          <w:tcPr>
            <w:tcW w:w="2340" w:type="dxa"/>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大树移植、行道树树种更换等控制管理</w:t>
            </w: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rPr>
              <w:t>①制定严格控制大树移植及随意更换行道树树种的制度或管控措施，并落实良好；</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restart"/>
            <w:tcBorders>
              <w:top w:val="single" w:color="auto" w:sz="4" w:space="0"/>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p>
        </w:tc>
        <w:tc>
          <w:tcPr>
            <w:tcW w:w="2340" w:type="dxa"/>
            <w:vMerge w:val="continue"/>
            <w:tcBorders>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②近2年（含申报年），公园绿地、道路绿化建设或改、扩建中未曾发生大规模（群植10株以上）移植大树（胸径20cm以上的落叶乔木、胸径在15cm以上的常绿乔木以及高度超过6m的针叶树）、未经专家论证及社会公示认可而更换行道树树种等现象。</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300" w:lineRule="exact"/>
              <w:ind w:left="-105" w:leftChars="-50" w:right="-105" w:rightChars="-50"/>
              <w:jc w:val="center"/>
              <w:rPr>
                <w:rFonts w:eastAsia="仿宋_GB2312"/>
                <w:kern w:val="0"/>
              </w:rPr>
            </w:pPr>
          </w:p>
        </w:tc>
        <w:tc>
          <w:tcPr>
            <w:tcW w:w="1205" w:type="dxa"/>
            <w:vMerge w:val="continue"/>
            <w:tcBorders>
              <w:left w:val="single" w:color="auto" w:sz="4" w:space="0"/>
              <w:bottom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eastAsia="仿宋_GB2312"/>
                <w:kern w:val="0"/>
              </w:rPr>
            </w:pPr>
            <w:r>
              <w:rPr>
                <w:rFonts w:hint="eastAsia" w:eastAsia="仿宋_GB2312"/>
                <w:kern w:val="0"/>
              </w:rPr>
              <w:t>3</w:t>
            </w:r>
          </w:p>
        </w:tc>
        <w:tc>
          <w:tcPr>
            <w:tcW w:w="2340" w:type="dxa"/>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kern w:val="0"/>
              </w:rPr>
            </w:pPr>
            <w:r>
              <w:rPr>
                <w:rFonts w:eastAsia="仿宋_GB2312"/>
                <w:bCs/>
                <w:kern w:val="0"/>
              </w:rPr>
              <w:t>公园规范化管理</w:t>
            </w: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rPr>
              <w:t>①公园管理符合相关管理规定；</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restart"/>
            <w:tcBorders>
              <w:top w:val="single" w:color="auto" w:sz="4" w:space="0"/>
              <w:left w:val="single" w:color="auto" w:sz="4" w:space="0"/>
              <w:right w:val="single" w:color="auto" w:sz="4" w:space="0"/>
            </w:tcBorders>
            <w:noWrap w:val="0"/>
            <w:vAlign w:val="center"/>
          </w:tcPr>
          <w:p>
            <w:pPr>
              <w:tabs>
                <w:tab w:val="left" w:pos="1117"/>
              </w:tabs>
              <w:spacing w:line="300" w:lineRule="exact"/>
              <w:rPr>
                <w:rFonts w:eastAsia="仿宋_GB2312"/>
              </w:rPr>
            </w:pPr>
            <w:r>
              <w:rPr>
                <w:rFonts w:eastAsia="仿宋_GB2312"/>
              </w:rPr>
              <w:t>考核范围为建成区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numPr>
                <w:ilvl w:val="0"/>
                <w:numId w:val="1"/>
              </w:numPr>
              <w:spacing w:line="300" w:lineRule="exact"/>
              <w:jc w:val="center"/>
              <w:rPr>
                <w:rFonts w:eastAsia="仿宋_GB2312"/>
                <w:kern w:val="0"/>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bCs/>
                <w:kern w:val="0"/>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eastAsia="仿宋_GB2312"/>
              </w:rPr>
              <w:t>②编制近2年（含申报年）城市（县城）公园建设计划并严格实施；</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县住建局</w:t>
            </w:r>
          </w:p>
        </w:tc>
        <w:tc>
          <w:tcPr>
            <w:tcW w:w="1205" w:type="dxa"/>
            <w:vMerge w:val="continue"/>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numPr>
                <w:ilvl w:val="0"/>
                <w:numId w:val="1"/>
              </w:numPr>
              <w:spacing w:line="300" w:lineRule="exact"/>
              <w:jc w:val="center"/>
              <w:rPr>
                <w:rFonts w:eastAsia="仿宋_GB2312"/>
                <w:kern w:val="0"/>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bCs/>
                <w:kern w:val="0"/>
              </w:rPr>
            </w:pPr>
          </w:p>
        </w:tc>
        <w:tc>
          <w:tcPr>
            <w:tcW w:w="6419" w:type="dxa"/>
            <w:tcBorders>
              <w:top w:val="single" w:color="auto" w:sz="4" w:space="0"/>
              <w:left w:val="single" w:color="auto" w:sz="4" w:space="0"/>
              <w:right w:val="single" w:color="auto" w:sz="4" w:space="0"/>
            </w:tcBorders>
            <w:noWrap w:val="0"/>
            <w:vAlign w:val="center"/>
          </w:tcPr>
          <w:p>
            <w:pPr>
              <w:spacing w:line="300" w:lineRule="exact"/>
              <w:jc w:val="left"/>
              <w:rPr>
                <w:rFonts w:eastAsia="仿宋_GB2312"/>
              </w:rPr>
            </w:pPr>
            <w:r>
              <w:rPr>
                <w:rFonts w:eastAsia="仿宋_GB2312"/>
              </w:rPr>
              <w:t>③公园设计符合《公园设计规范》等相关标准规范要求，公园功能完善，设施完好，安全运行；</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县住建局</w:t>
            </w:r>
          </w:p>
        </w:tc>
        <w:tc>
          <w:tcPr>
            <w:tcW w:w="1205" w:type="dxa"/>
            <w:vMerge w:val="continue"/>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numPr>
                <w:ilvl w:val="0"/>
                <w:numId w:val="1"/>
              </w:numPr>
              <w:spacing w:line="300" w:lineRule="exact"/>
              <w:jc w:val="center"/>
              <w:rPr>
                <w:rFonts w:eastAsia="仿宋_GB2312"/>
                <w:kern w:val="0"/>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bCs/>
                <w:kern w:val="0"/>
              </w:rPr>
            </w:pPr>
          </w:p>
        </w:tc>
        <w:tc>
          <w:tcPr>
            <w:tcW w:w="6419" w:type="dxa"/>
            <w:tcBorders>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eastAsia="仿宋_GB2312"/>
              </w:rPr>
              <w:t>④对国家重点公园、历史名园等重要公园实行永久性保护；</w:t>
            </w:r>
          </w:p>
          <w:p>
            <w:pPr>
              <w:spacing w:line="300" w:lineRule="exact"/>
              <w:rPr>
                <w:rFonts w:eastAsia="仿宋_GB2312"/>
              </w:rPr>
            </w:pPr>
            <w:r>
              <w:rPr>
                <w:rFonts w:eastAsia="仿宋_GB2312"/>
                <w:bCs/>
                <w:kern w:val="0"/>
              </w:rPr>
              <w:t>⑤</w:t>
            </w:r>
            <w:r>
              <w:rPr>
                <w:rFonts w:eastAsia="仿宋_GB2312"/>
              </w:rPr>
              <w:t>公园配套服务设施经营管理符合《城市公园配套服务项目经营管理暂行办法》（建城〔2016〕36号）等要求，保障公园的公益属性；</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continue"/>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numPr>
                <w:ilvl w:val="0"/>
                <w:numId w:val="1"/>
              </w:numPr>
              <w:spacing w:line="300" w:lineRule="exact"/>
              <w:jc w:val="center"/>
              <w:rPr>
                <w:rFonts w:eastAsia="仿宋_GB2312"/>
                <w:kern w:val="0"/>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bCs/>
                <w:kern w:val="0"/>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rPr>
              <w:fldChar w:fldCharType="begin"/>
            </w:r>
            <w:r>
              <w:rPr>
                <w:rFonts w:eastAsia="仿宋_GB2312"/>
              </w:rPr>
              <w:instrText xml:space="preserve">eq \o\ac(</w:instrText>
            </w:r>
            <w:r>
              <w:rPr>
                <w:rFonts w:eastAsia="仿宋_GB2312"/>
                <w:position w:val="-4"/>
                <w:sz w:val="31"/>
              </w:rPr>
              <w:instrText xml:space="preserve">○</w:instrText>
            </w:r>
            <w:r>
              <w:rPr>
                <w:rFonts w:eastAsia="仿宋_GB2312"/>
              </w:rPr>
              <w:instrText xml:space="preserve">,6)</w:instrText>
            </w:r>
            <w:r>
              <w:rPr>
                <w:rFonts w:eastAsia="仿宋_GB2312"/>
              </w:rPr>
              <w:fldChar w:fldCharType="end"/>
            </w:r>
            <w:r>
              <w:rPr>
                <w:rFonts w:eastAsia="仿宋_GB2312"/>
              </w:rPr>
              <w:t>城市：公</w:t>
            </w:r>
            <w:r>
              <w:rPr>
                <w:rFonts w:eastAsia="仿宋_GB2312"/>
                <w:kern w:val="0"/>
              </w:rPr>
              <w:t>园免费开放率≥90%；</w:t>
            </w:r>
          </w:p>
          <w:p>
            <w:pPr>
              <w:tabs>
                <w:tab w:val="left" w:pos="245"/>
              </w:tabs>
              <w:spacing w:line="300" w:lineRule="exact"/>
              <w:rPr>
                <w:rFonts w:eastAsia="仿宋_GB2312"/>
                <w:bCs/>
                <w:kern w:val="0"/>
              </w:rPr>
            </w:pPr>
            <w:r>
              <w:rPr>
                <w:rFonts w:eastAsia="仿宋_GB2312"/>
                <w:kern w:val="0"/>
              </w:rPr>
              <w:t>县城：</w:t>
            </w:r>
            <w:r>
              <w:rPr>
                <w:rFonts w:eastAsia="仿宋_GB2312"/>
              </w:rPr>
              <w:t>公</w:t>
            </w:r>
            <w:r>
              <w:rPr>
                <w:rFonts w:eastAsia="仿宋_GB2312"/>
                <w:kern w:val="0"/>
              </w:rPr>
              <w:t>园免费开放率≥95%。</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00" w:lineRule="exact"/>
              <w:ind w:left="-105" w:leftChars="-50" w:right="-105" w:rightChars="-50"/>
              <w:jc w:val="center"/>
              <w:rPr>
                <w:rFonts w:eastAsia="仿宋_GB2312"/>
                <w:kern w:val="0"/>
              </w:rPr>
            </w:pPr>
            <w:r>
              <w:rPr>
                <w:rFonts w:eastAsia="仿宋_GB2312"/>
                <w:kern w:val="0"/>
              </w:rPr>
              <w:t>县综合行政执法局</w:t>
            </w:r>
          </w:p>
        </w:tc>
        <w:tc>
          <w:tcPr>
            <w:tcW w:w="1205" w:type="dxa"/>
            <w:vMerge w:val="continue"/>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restart"/>
            <w:tcBorders>
              <w:left w:val="single" w:color="auto" w:sz="4" w:space="0"/>
              <w:right w:val="single" w:color="auto" w:sz="4" w:space="0"/>
            </w:tcBorders>
            <w:noWrap w:val="0"/>
            <w:vAlign w:val="center"/>
          </w:tcPr>
          <w:p>
            <w:pPr>
              <w:spacing w:line="300" w:lineRule="exact"/>
              <w:jc w:val="center"/>
              <w:rPr>
                <w:rFonts w:eastAsia="仿宋_GB2312"/>
              </w:rPr>
            </w:pPr>
            <w:r>
              <w:rPr>
                <w:rFonts w:hint="eastAsia" w:eastAsia="仿宋_GB2312"/>
              </w:rPr>
              <w:t>4</w:t>
            </w:r>
          </w:p>
        </w:tc>
        <w:tc>
          <w:tcPr>
            <w:tcW w:w="2340" w:type="dxa"/>
            <w:vMerge w:val="restart"/>
            <w:tcBorders>
              <w:left w:val="single" w:color="auto" w:sz="4" w:space="0"/>
              <w:right w:val="single" w:color="auto" w:sz="4" w:space="0"/>
            </w:tcBorders>
            <w:noWrap w:val="0"/>
            <w:vAlign w:val="center"/>
          </w:tcPr>
          <w:p>
            <w:pPr>
              <w:spacing w:line="300" w:lineRule="exact"/>
              <w:rPr>
                <w:rFonts w:eastAsia="仿宋_GB2312"/>
              </w:rPr>
            </w:pPr>
            <w:r>
              <w:rPr>
                <w:rFonts w:hint="eastAsia" w:eastAsia="仿宋_GB2312"/>
              </w:rPr>
              <w:t>公园绿地应急避险功能完善建设</w:t>
            </w: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hint="eastAsia" w:eastAsia="仿宋_GB2312"/>
              </w:rPr>
              <w:t>①在全面摸底评估的基础上，编制《城市绿地系统防灾避险规划》或在《城市绿地系统规划》中有专章；</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hint="eastAsia" w:eastAsia="仿宋_GB2312"/>
              </w:rPr>
              <w:t>县综合行政执法局</w:t>
            </w:r>
          </w:p>
        </w:tc>
        <w:tc>
          <w:tcPr>
            <w:tcW w:w="1205" w:type="dxa"/>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37"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spacing w:line="300" w:lineRule="exact"/>
              <w:rPr>
                <w:rFonts w:hint="eastAsia" w:eastAsia="仿宋_GB2312"/>
              </w:rPr>
            </w:pPr>
          </w:p>
        </w:tc>
        <w:tc>
          <w:tcPr>
            <w:tcW w:w="2340" w:type="dxa"/>
            <w:vMerge w:val="continue"/>
            <w:tcBorders>
              <w:left w:val="single" w:color="auto" w:sz="4" w:space="0"/>
              <w:right w:val="single" w:color="auto" w:sz="4" w:space="0"/>
            </w:tcBorders>
            <w:noWrap w:val="0"/>
            <w:vAlign w:val="center"/>
          </w:tcPr>
          <w:p>
            <w:pPr>
              <w:spacing w:line="300" w:lineRule="exact"/>
              <w:rPr>
                <w:rFonts w:eastAsia="仿宋_GB2312"/>
              </w:rPr>
            </w:pPr>
          </w:p>
        </w:tc>
        <w:tc>
          <w:tcPr>
            <w:tcW w:w="6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hint="eastAsia" w:eastAsia="仿宋_GB2312"/>
              </w:rPr>
              <w:t>②承担防灾避险功能的公园绿地中水、电、通讯、标识等设施符合相关标准规范要求。</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rPr>
            </w:pPr>
            <w:r>
              <w:rPr>
                <w:rFonts w:hint="eastAsia" w:eastAsia="仿宋_GB2312"/>
              </w:rPr>
              <w:t>县综合行政执法局</w:t>
            </w:r>
          </w:p>
        </w:tc>
        <w:tc>
          <w:tcPr>
            <w:tcW w:w="1205" w:type="dxa"/>
            <w:tcBorders>
              <w:left w:val="single" w:color="auto" w:sz="4" w:space="0"/>
              <w:right w:val="single" w:color="auto" w:sz="4" w:space="0"/>
            </w:tcBorders>
            <w:noWrap w:val="0"/>
            <w:vAlign w:val="center"/>
          </w:tcPr>
          <w:p>
            <w:pPr>
              <w:tabs>
                <w:tab w:val="left" w:pos="1117"/>
              </w:tabs>
              <w:spacing w:line="300" w:lineRule="exact"/>
              <w:rPr>
                <w:rFonts w:eastAsia="仿宋_GB2312"/>
                <w:kern w:val="0"/>
              </w:rPr>
            </w:pPr>
          </w:p>
        </w:tc>
      </w:tr>
    </w:tbl>
    <w:p>
      <w:pPr>
        <w:widowControl/>
        <w:jc w:val="left"/>
        <w:rPr>
          <w:b/>
          <w:kern w:val="0"/>
        </w:rPr>
        <w:sectPr>
          <w:footerReference r:id="rId9" w:type="default"/>
          <w:footerReference r:id="rId10" w:type="even"/>
          <w:pgSz w:w="16838" w:h="11906" w:orient="landscape"/>
          <w:pgMar w:top="2041" w:right="1531" w:bottom="1757" w:left="1531" w:header="851" w:footer="1587" w:gutter="0"/>
          <w:cols w:space="720" w:num="1"/>
          <w:docGrid w:type="lines" w:linePitch="317" w:charSpace="0"/>
        </w:sectPr>
      </w:pPr>
    </w:p>
    <w:tbl>
      <w:tblPr>
        <w:tblStyle w:val="4"/>
        <w:tblW w:w="13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70"/>
        <w:gridCol w:w="2355"/>
        <w:gridCol w:w="6410"/>
        <w:gridCol w:w="20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46" w:type="dxa"/>
            <w:vMerge w:val="restart"/>
            <w:tcBorders>
              <w:left w:val="single" w:color="auto" w:sz="4" w:space="0"/>
              <w:right w:val="single" w:color="auto" w:sz="4" w:space="0"/>
            </w:tcBorders>
            <w:noWrap w:val="0"/>
            <w:vAlign w:val="center"/>
          </w:tcPr>
          <w:p>
            <w:pPr>
              <w:spacing w:line="280" w:lineRule="exact"/>
              <w:rPr>
                <w:rFonts w:eastAsia="仿宋_GB2312"/>
                <w:b/>
                <w:kern w:val="0"/>
              </w:rPr>
            </w:pPr>
            <w:r>
              <w:rPr>
                <w:rFonts w:eastAsia="仿宋_GB2312"/>
                <w:b/>
                <w:kern w:val="0"/>
              </w:rPr>
              <w:t>三、建设管控（11）</w:t>
            </w: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5</w:t>
            </w:r>
          </w:p>
        </w:tc>
        <w:tc>
          <w:tcPr>
            <w:tcW w:w="2355"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城市绿道规划建设</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rPr>
            </w:pPr>
            <w:r>
              <w:rPr>
                <w:rFonts w:eastAsia="仿宋_GB2312"/>
              </w:rPr>
              <w:t>①</w:t>
            </w:r>
            <w:r>
              <w:rPr>
                <w:rFonts w:eastAsia="仿宋_GB2312"/>
                <w:kern w:val="0"/>
              </w:rPr>
              <w:t>编制城市（县城）绿道建设规划，以绿道串联城乡绿色资源，与公交、步行及自行车交通系统相衔接，为市民提供亲近自然、游憩健身、绿色出行的场所和途径。通过绿道合理连接城乡居民点、公共空间及历史文化节点，科学保护和利用文化遗产、历史遗存等</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县住建局</w:t>
            </w:r>
          </w:p>
        </w:tc>
        <w:tc>
          <w:tcPr>
            <w:tcW w:w="1185"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64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②绿道建设符合《绿道规划设计导则》和浙江省《绿道设计与施工技术规程》等相关标准规范要求；</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县住建局</w:t>
            </w:r>
          </w:p>
        </w:tc>
        <w:tc>
          <w:tcPr>
            <w:tcW w:w="1185" w:type="dxa"/>
            <w:vMerge w:val="continue"/>
            <w:tcBorders>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641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③绿道及配套设施维护管理良好。</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185" w:type="dxa"/>
            <w:vMerge w:val="continue"/>
            <w:tcBorders>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1246" w:type="dxa"/>
            <w:vMerge w:val="continue"/>
            <w:tcBorders>
              <w:left w:val="single" w:color="auto" w:sz="4" w:space="0"/>
              <w:right w:val="single" w:color="auto" w:sz="4" w:space="0"/>
            </w:tcBorders>
            <w:noWrap w:val="0"/>
            <w:vAlign w:val="center"/>
          </w:tcPr>
          <w:p>
            <w:pPr>
              <w:spacing w:line="280" w:lineRule="exac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6</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古树名木和后备资源保护</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①严禁移植古树名木,古树名木保护率100%；</w:t>
            </w:r>
          </w:p>
          <w:p>
            <w:pPr>
              <w:tabs>
                <w:tab w:val="left" w:pos="1117"/>
              </w:tabs>
              <w:spacing w:line="280" w:lineRule="exact"/>
              <w:rPr>
                <w:rFonts w:eastAsia="仿宋_GB2312"/>
                <w:kern w:val="0"/>
              </w:rPr>
            </w:pPr>
            <w:r>
              <w:rPr>
                <w:rFonts w:eastAsia="仿宋_GB2312"/>
                <w:kern w:val="0"/>
              </w:rPr>
              <w:t>②完成树龄超过50 年（含）以上古树名木后备资源普查、建档、挂牌并确定保护责任单位或责任人。</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县自然资源和规划局</w:t>
            </w:r>
          </w:p>
          <w:p>
            <w:pPr>
              <w:tabs>
                <w:tab w:val="left" w:pos="1117"/>
              </w:tabs>
              <w:spacing w:line="280" w:lineRule="exact"/>
              <w:ind w:left="-105" w:leftChars="-50" w:right="-105" w:rightChars="-50"/>
              <w:jc w:val="center"/>
              <w:rPr>
                <w:rFonts w:eastAsia="仿宋_GB2312"/>
                <w:color w:val="FF0000"/>
                <w:kern w:val="0"/>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7</w:t>
            </w:r>
          </w:p>
        </w:tc>
        <w:tc>
          <w:tcPr>
            <w:tcW w:w="2355"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节约型绿地建设</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rPr>
            </w:pPr>
            <w:r>
              <w:rPr>
                <w:rFonts w:eastAsia="仿宋_GB2312"/>
                <w:kern w:val="0"/>
              </w:rPr>
              <w:t>①园林绿化建设以植物造景为主，以栽植全冠苗木为主，采取有效措施严格控制大树移植、大广场、喷泉、水景、人工大水面、大草坪、大色块、雕塑、灯具造景、过度亮化等；</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县城投公司</w:t>
            </w:r>
          </w:p>
        </w:tc>
        <w:tc>
          <w:tcPr>
            <w:tcW w:w="1185"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continue"/>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p>
        </w:tc>
        <w:tc>
          <w:tcPr>
            <w:tcW w:w="6410" w:type="dxa"/>
            <w:tcBorders>
              <w:top w:val="single" w:color="auto" w:sz="4" w:space="0"/>
              <w:left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②合理选择应用乡土、适生植物，优先使用本地苗圃培育的种</w:t>
            </w:r>
          </w:p>
          <w:p>
            <w:pPr>
              <w:autoSpaceDE w:val="0"/>
              <w:autoSpaceDN w:val="0"/>
              <w:adjustRightInd w:val="0"/>
              <w:spacing w:line="280" w:lineRule="exact"/>
              <w:jc w:val="left"/>
              <w:rPr>
                <w:rFonts w:eastAsia="仿宋_GB2312"/>
                <w:kern w:val="0"/>
              </w:rPr>
            </w:pPr>
            <w:r>
              <w:rPr>
                <w:rFonts w:eastAsia="仿宋_GB2312"/>
                <w:kern w:val="0"/>
              </w:rPr>
              <w:t>苗，严格控制反季节种植、更换行道树树种等；</w:t>
            </w:r>
          </w:p>
        </w:tc>
        <w:tc>
          <w:tcPr>
            <w:tcW w:w="2050" w:type="dxa"/>
            <w:tcBorders>
              <w:top w:val="single" w:color="auto" w:sz="4" w:space="0"/>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p>
        </w:tc>
        <w:tc>
          <w:tcPr>
            <w:tcW w:w="1185" w:type="dxa"/>
            <w:vMerge w:val="continue"/>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8</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立体绿化推广</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rPr>
              <w:t>因地制宜制定立体绿化推广的鼓励政策、技术措施和实施方案，且效果良好。</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县住建局</w:t>
            </w:r>
          </w:p>
          <w:p>
            <w:pPr>
              <w:tabs>
                <w:tab w:val="left" w:pos="1117"/>
              </w:tabs>
              <w:spacing w:line="280" w:lineRule="exact"/>
              <w:ind w:left="-105" w:leftChars="-50" w:right="-105" w:rightChars="-50"/>
              <w:jc w:val="center"/>
              <w:rPr>
                <w:rFonts w:eastAsia="仿宋_GB2312"/>
                <w:kern w:val="0"/>
              </w:rPr>
            </w:pPr>
            <w:r>
              <w:rPr>
                <w:rFonts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r>
              <w:rPr>
                <w:rFonts w:eastAsia="仿宋_GB2312"/>
                <w:kern w:val="0"/>
              </w:rPr>
              <w:t>仅考核城市，县城为加分项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r>
              <w:rPr>
                <w:rFonts w:hint="eastAsia" w:eastAsia="仿宋_GB2312"/>
                <w:kern w:val="0"/>
              </w:rPr>
              <w:t>9</w:t>
            </w:r>
          </w:p>
        </w:tc>
        <w:tc>
          <w:tcPr>
            <w:tcW w:w="2355"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城市历史风貌保护</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②制定历史文化名城保护规划或历史风貌保护规划，经过审批，实施效果良好；历史文化街区、历史建筑等得到有效保护；</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县自然资源和规划局</w:t>
            </w:r>
          </w:p>
          <w:p>
            <w:pPr>
              <w:tabs>
                <w:tab w:val="left" w:pos="1117"/>
              </w:tabs>
              <w:spacing w:line="280" w:lineRule="exact"/>
              <w:ind w:left="-105" w:leftChars="-50" w:right="-105" w:rightChars="-50"/>
              <w:jc w:val="center"/>
              <w:rPr>
                <w:rFonts w:eastAsia="仿宋_GB2312"/>
                <w:kern w:val="0"/>
              </w:rPr>
            </w:pPr>
            <w:r>
              <w:rPr>
                <w:rFonts w:eastAsia="仿宋_GB2312"/>
                <w:kern w:val="0"/>
              </w:rPr>
              <w:t>县文化和广电旅游体育局</w:t>
            </w:r>
          </w:p>
        </w:tc>
        <w:tc>
          <w:tcPr>
            <w:tcW w:w="1185"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rPr>
                <w:rFonts w:eastAsia="仿宋_GB2312"/>
                <w:kern w:val="0"/>
              </w:rPr>
            </w:pPr>
            <w:r>
              <w:rPr>
                <w:rFonts w:hint="eastAsia" w:eastAsia="仿宋_GB2312"/>
                <w:kern w:val="0"/>
              </w:rPr>
              <w:t>考核范围为规划区；</w:t>
            </w:r>
          </w:p>
          <w:p>
            <w:pPr>
              <w:tabs>
                <w:tab w:val="left" w:pos="1117"/>
              </w:tabs>
              <w:spacing w:line="280" w:lineRule="exact"/>
              <w:rPr>
                <w:rFonts w:eastAsia="仿宋_GB2312"/>
                <w:kern w:val="0"/>
              </w:rPr>
            </w:pPr>
            <w:r>
              <w:rPr>
                <w:rFonts w:hint="eastAsia" w:eastAsia="仿宋_GB2312"/>
                <w:kern w:val="0"/>
              </w:rPr>
              <w:t>县城考核②③④。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64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③县城规划区内道路格局符合县城形态特征,尺度宜人,不盲目拓宽取直；</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县自然资源和规划局</w:t>
            </w:r>
          </w:p>
        </w:tc>
        <w:tc>
          <w:tcPr>
            <w:tcW w:w="1185" w:type="dxa"/>
            <w:vMerge w:val="continue"/>
            <w:tcBorders>
              <w:left w:val="single" w:color="auto" w:sz="4" w:space="0"/>
              <w:right w:val="single" w:color="auto" w:sz="4" w:space="0"/>
            </w:tcBorders>
            <w:noWrap w:val="0"/>
            <w:vAlign w:val="center"/>
          </w:tcPr>
          <w:p>
            <w:pPr>
              <w:tabs>
                <w:tab w:val="left" w:pos="1117"/>
              </w:tabs>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46" w:type="dxa"/>
            <w:vMerge w:val="continue"/>
            <w:tcBorders>
              <w:left w:val="single" w:color="auto" w:sz="4" w:space="0"/>
              <w:right w:val="single" w:color="auto" w:sz="4" w:space="0"/>
            </w:tcBorders>
            <w:noWrap w:val="0"/>
            <w:vAlign w:val="center"/>
          </w:tcPr>
          <w:p>
            <w:pPr>
              <w:widowControl/>
              <w:spacing w:line="280" w:lineRule="exact"/>
              <w:jc w:val="left"/>
              <w:rPr>
                <w:rFonts w:eastAsia="仿宋_GB2312"/>
                <w:b/>
                <w:kern w:val="0"/>
              </w:rPr>
            </w:pPr>
          </w:p>
        </w:tc>
        <w:tc>
          <w:tcPr>
            <w:tcW w:w="570"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2355"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641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sz w:val="24"/>
              </w:rPr>
            </w:pPr>
            <w:r>
              <w:rPr>
                <w:rFonts w:eastAsia="仿宋_GB2312"/>
                <w:kern w:val="0"/>
              </w:rPr>
              <w:t>④县城不同历史发展阶段的代表性建筑保存完好，新建建筑具有地域特色和民族文化特征，风格协调统一。</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县文化和广电旅游体育局</w:t>
            </w:r>
          </w:p>
        </w:tc>
        <w:tc>
          <w:tcPr>
            <w:tcW w:w="1185" w:type="dxa"/>
            <w:vMerge w:val="continue"/>
            <w:tcBorders>
              <w:left w:val="single" w:color="auto" w:sz="4" w:space="0"/>
              <w:bottom w:val="single" w:color="auto" w:sz="4" w:space="0"/>
              <w:right w:val="single" w:color="auto" w:sz="4" w:space="0"/>
            </w:tcBorders>
            <w:noWrap w:val="0"/>
            <w:vAlign w:val="center"/>
          </w:tcPr>
          <w:p>
            <w:pPr>
              <w:tabs>
                <w:tab w:val="left" w:pos="1117"/>
              </w:tabs>
              <w:spacing w:line="280" w:lineRule="exact"/>
              <w:rPr>
                <w:rFonts w:eastAsia="仿宋_GB2312"/>
                <w:kern w:val="0"/>
              </w:rPr>
            </w:pPr>
          </w:p>
        </w:tc>
      </w:tr>
    </w:tbl>
    <w:p>
      <w:pPr>
        <w:widowControl/>
        <w:jc w:val="left"/>
        <w:rPr>
          <w:b/>
          <w:kern w:val="0"/>
        </w:rPr>
        <w:sectPr>
          <w:footerReference r:id="rId11" w:type="default"/>
          <w:footerReference r:id="rId12" w:type="even"/>
          <w:pgSz w:w="16838" w:h="11906" w:orient="landscape"/>
          <w:pgMar w:top="2041" w:right="1531" w:bottom="1757" w:left="1531" w:header="851" w:footer="1587" w:gutter="0"/>
          <w:cols w:space="720" w:num="1"/>
          <w:docGrid w:type="lines" w:linePitch="317" w:charSpace="0"/>
        </w:sectPr>
      </w:pPr>
    </w:p>
    <w:tbl>
      <w:tblPr>
        <w:tblStyle w:val="4"/>
        <w:tblW w:w="13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585"/>
        <w:gridCol w:w="2355"/>
        <w:gridCol w:w="6420"/>
        <w:gridCol w:w="205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234" w:type="dxa"/>
            <w:vMerge w:val="restart"/>
            <w:tcBorders>
              <w:left w:val="single" w:color="auto" w:sz="4" w:space="0"/>
              <w:right w:val="single" w:color="auto" w:sz="4" w:space="0"/>
            </w:tcBorders>
            <w:noWrap w:val="0"/>
            <w:vAlign w:val="center"/>
          </w:tcPr>
          <w:p>
            <w:pPr>
              <w:widowControl/>
              <w:spacing w:line="320" w:lineRule="exact"/>
              <w:jc w:val="left"/>
              <w:rPr>
                <w:rFonts w:eastAsia="仿宋_GB2312"/>
                <w:b/>
                <w:kern w:val="0"/>
              </w:rPr>
            </w:pPr>
            <w:r>
              <w:rPr>
                <w:rFonts w:eastAsia="仿宋_GB2312"/>
                <w:b/>
                <w:kern w:val="0"/>
              </w:rPr>
              <w:t>三、建设管控（11）</w:t>
            </w:r>
          </w:p>
        </w:tc>
        <w:tc>
          <w:tcPr>
            <w:tcW w:w="58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10</w:t>
            </w:r>
          </w:p>
        </w:tc>
        <w:tc>
          <w:tcPr>
            <w:tcW w:w="2355" w:type="dxa"/>
            <w:vMerge w:val="restart"/>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风景名胜区、文化与自然遗产保护与管理</w:t>
            </w:r>
          </w:p>
        </w:tc>
        <w:tc>
          <w:tcPr>
            <w:tcW w:w="6420" w:type="dxa"/>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①依法设立风景名胜区、世界遗产的管理机构，管理职能到位，能够有效行使保护、利用和统一管理职责；</w:t>
            </w:r>
          </w:p>
          <w:p>
            <w:pPr>
              <w:spacing w:line="320" w:lineRule="exact"/>
              <w:rPr>
                <w:rFonts w:eastAsia="仿宋_GB2312"/>
                <w:kern w:val="0"/>
              </w:rPr>
            </w:pPr>
            <w:r>
              <w:rPr>
                <w:rFonts w:eastAsia="仿宋_GB2312"/>
                <w:kern w:val="0"/>
              </w:rPr>
              <w:t>②规划区内国家级、省级风景名胜区或列入世界遗产名录的文化或自然遗产严格依据《风景名胜区条例》和相关法律法规与国际公约进行保护管理；</w:t>
            </w:r>
          </w:p>
        </w:tc>
        <w:tc>
          <w:tcPr>
            <w:tcW w:w="2056" w:type="dxa"/>
            <w:tcBorders>
              <w:top w:val="single" w:color="auto" w:sz="4" w:space="0"/>
              <w:left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县文化和广电旅游体育局</w:t>
            </w:r>
          </w:p>
        </w:tc>
        <w:tc>
          <w:tcPr>
            <w:tcW w:w="1171" w:type="dxa"/>
            <w:vMerge w:val="restart"/>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考查范围为规划区。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234"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p>
        </w:tc>
        <w:tc>
          <w:tcPr>
            <w:tcW w:w="2355" w:type="dxa"/>
            <w:vMerge w:val="continue"/>
            <w:tcBorders>
              <w:left w:val="single" w:color="auto" w:sz="4" w:space="0"/>
              <w:bottom w:val="single" w:color="auto" w:sz="4" w:space="0"/>
              <w:right w:val="single" w:color="auto" w:sz="4" w:space="0"/>
            </w:tcBorders>
            <w:noWrap w:val="0"/>
            <w:vAlign w:val="center"/>
          </w:tcPr>
          <w:p>
            <w:pPr>
              <w:spacing w:line="320" w:lineRule="exact"/>
              <w:rPr>
                <w:rFonts w:eastAsia="仿宋_GB2312"/>
                <w:kern w:val="0"/>
              </w:rPr>
            </w:pP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③具有经批准的风景名胜区总体规划等规划，严格履行风景名胜区建设项目审批等手续。</w:t>
            </w:r>
          </w:p>
        </w:tc>
        <w:tc>
          <w:tcPr>
            <w:tcW w:w="2056" w:type="dxa"/>
            <w:tcBorders>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71" w:type="dxa"/>
            <w:vMerge w:val="continue"/>
            <w:tcBorders>
              <w:left w:val="single" w:color="auto" w:sz="4" w:space="0"/>
              <w:bottom w:val="single" w:color="auto" w:sz="4" w:space="0"/>
              <w:right w:val="single" w:color="auto" w:sz="4" w:space="0"/>
            </w:tcBorders>
            <w:noWrap w:val="0"/>
            <w:vAlign w:val="center"/>
          </w:tcPr>
          <w:p>
            <w:pPr>
              <w:spacing w:line="32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234"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11</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海绵城市规划建设</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tabs>
                <w:tab w:val="left" w:pos="245"/>
              </w:tabs>
              <w:spacing w:line="320" w:lineRule="exact"/>
              <w:rPr>
                <w:rFonts w:eastAsia="仿宋_GB2312"/>
                <w:kern w:val="0"/>
              </w:rPr>
            </w:pPr>
            <w:r>
              <w:rPr>
                <w:rFonts w:eastAsia="仿宋_GB2312"/>
                <w:kern w:val="0"/>
              </w:rPr>
              <w:t>因地制宜、科学合理编制海绵城市规划，并依法依规批复实施，建成区内有一定片区（独立汇水区）达到海绵城市建设要求。严格强化管控手段，城市新建城区及新建城市项目严格落实低影响开发（LID）理念。</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320" w:lineRule="exact"/>
              <w:ind w:left="-105" w:leftChars="-50" w:right="-105" w:rightChars="-50"/>
              <w:jc w:val="center"/>
              <w:rPr>
                <w:rFonts w:eastAsia="仿宋_GB2312"/>
                <w:kern w:val="0"/>
              </w:rPr>
            </w:pPr>
            <w:r>
              <w:rPr>
                <w:rFonts w:eastAsia="仿宋_GB2312"/>
                <w:kern w:val="0"/>
              </w:rPr>
              <w:t>县住建局</w:t>
            </w:r>
          </w:p>
          <w:p>
            <w:pPr>
              <w:spacing w:line="320" w:lineRule="exact"/>
              <w:ind w:left="-105" w:leftChars="-50" w:right="-105" w:rightChars="-50"/>
              <w:jc w:val="center"/>
              <w:rPr>
                <w:rFonts w:eastAsia="仿宋_GB2312"/>
                <w:kern w:val="0"/>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p>
          <w:p>
            <w:pPr>
              <w:spacing w:line="320" w:lineRule="exact"/>
              <w:rPr>
                <w:rFonts w:eastAsia="仿宋_GB2312"/>
                <w:kern w:val="0"/>
              </w:rPr>
            </w:pPr>
            <w:r>
              <w:rPr>
                <w:rFonts w:eastAsia="仿宋_GB2312"/>
                <w:kern w:val="0"/>
              </w:rPr>
              <w:t>仅考核城市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34" w:type="dxa"/>
            <w:vMerge w:val="restart"/>
            <w:tcBorders>
              <w:left w:val="single" w:color="auto" w:sz="4" w:space="0"/>
              <w:right w:val="single" w:color="auto" w:sz="4" w:space="0"/>
            </w:tcBorders>
            <w:noWrap w:val="0"/>
            <w:vAlign w:val="center"/>
          </w:tcPr>
          <w:p>
            <w:pPr>
              <w:widowControl/>
              <w:spacing w:line="320" w:lineRule="exact"/>
              <w:jc w:val="left"/>
              <w:rPr>
                <w:rFonts w:eastAsia="仿宋_GB2312"/>
                <w:b/>
                <w:kern w:val="0"/>
              </w:rPr>
            </w:pPr>
            <w:r>
              <w:rPr>
                <w:rFonts w:eastAsia="仿宋_GB2312"/>
                <w:b/>
                <w:kern w:val="0"/>
              </w:rPr>
              <w:t>四、生态环境（9）</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1</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生态空间保护</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①科学界定城市增长边界，原有山、水、林、田、湖等格局及自然生</w:t>
            </w:r>
            <w:r>
              <w:rPr>
                <w:rFonts w:eastAsia="仿宋_GB2312"/>
                <w:spacing w:val="-6"/>
                <w:kern w:val="0"/>
              </w:rPr>
              <w:t>态系统得到较好保护，显山露水，确保其原貌性、完整性和功能完好性；</w:t>
            </w:r>
          </w:p>
          <w:p>
            <w:pPr>
              <w:spacing w:line="320" w:lineRule="exact"/>
              <w:rPr>
                <w:rFonts w:eastAsia="仿宋_GB2312"/>
                <w:kern w:val="0"/>
              </w:rPr>
            </w:pPr>
            <w:r>
              <w:rPr>
                <w:rFonts w:eastAsia="仿宋_GB2312"/>
                <w:spacing w:val="-6"/>
                <w:kern w:val="0"/>
              </w:rPr>
              <w:t>②完成生态评估，制定并公布生态修复总体方案，建立生态修复项目库。</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p>
            <w:pPr>
              <w:spacing w:line="320" w:lineRule="exact"/>
              <w:ind w:left="-105" w:leftChars="-50" w:right="-105" w:rightChars="-50"/>
              <w:jc w:val="center"/>
              <w:rPr>
                <w:rFonts w:eastAsia="仿宋_GB2312"/>
                <w:kern w:val="0"/>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县（市）为县（市）域范围。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234"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2</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 xml:space="preserve">生态网络体系建设 </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kern w:val="0"/>
              </w:rPr>
            </w:pPr>
            <w:r>
              <w:rPr>
                <w:rFonts w:eastAsia="仿宋_GB2312"/>
                <w:kern w:val="0"/>
              </w:rPr>
              <w:t>①结合绿线、水体保护线、历史文化保护线和生态保护红线的划定，统筹城乡生态空间；</w:t>
            </w:r>
          </w:p>
          <w:p>
            <w:pPr>
              <w:spacing w:line="320" w:lineRule="exact"/>
              <w:rPr>
                <w:rFonts w:eastAsia="仿宋_GB2312"/>
              </w:rPr>
            </w:pPr>
            <w:r>
              <w:rPr>
                <w:rFonts w:eastAsia="仿宋_GB2312"/>
                <w:kern w:val="0"/>
              </w:rPr>
              <w:t>②合理布局绿楔、绿环、绿道、绿廊等，将城市绿地系统与城市外围山水林田湖等自然生态要素有机连接，将自然要素引入城市、社区。</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p>
            <w:pPr>
              <w:spacing w:line="320" w:lineRule="exact"/>
              <w:ind w:left="-105" w:leftChars="-50" w:right="-105" w:rightChars="-50"/>
              <w:jc w:val="center"/>
              <w:rPr>
                <w:rFonts w:eastAsia="仿宋_GB2312"/>
                <w:kern w:val="0"/>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县（市）为县（市）域范围。</w:t>
            </w:r>
          </w:p>
        </w:tc>
      </w:tr>
    </w:tbl>
    <w:p>
      <w:pPr>
        <w:spacing w:line="280" w:lineRule="exact"/>
        <w:jc w:val="left"/>
        <w:rPr>
          <w:rFonts w:hint="eastAsia" w:hAnsi="宋体"/>
          <w:b/>
          <w:kern w:val="0"/>
        </w:rPr>
        <w:sectPr>
          <w:footerReference r:id="rId13" w:type="default"/>
          <w:footerReference r:id="rId14" w:type="even"/>
          <w:pgSz w:w="16838" w:h="11906" w:orient="landscape"/>
          <w:pgMar w:top="2041" w:right="1531" w:bottom="1757" w:left="1531" w:header="851" w:footer="1587" w:gutter="0"/>
          <w:cols w:space="720" w:num="1"/>
          <w:docGrid w:type="lines" w:linePitch="317" w:charSpace="0"/>
        </w:sectPr>
      </w:pPr>
    </w:p>
    <w:tbl>
      <w:tblPr>
        <w:tblStyle w:val="4"/>
        <w:tblW w:w="13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585"/>
        <w:gridCol w:w="2355"/>
        <w:gridCol w:w="6420"/>
        <w:gridCol w:w="207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3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eastAsia="仿宋_GB2312"/>
                <w:b/>
                <w:kern w:val="0"/>
              </w:rPr>
            </w:pPr>
            <w:r>
              <w:rPr>
                <w:rFonts w:eastAsia="仿宋_GB2312"/>
                <w:b/>
                <w:kern w:val="0"/>
              </w:rPr>
              <w:t>四、生态环境（9）</w:t>
            </w:r>
          </w:p>
        </w:tc>
        <w:tc>
          <w:tcPr>
            <w:tcW w:w="58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3</w:t>
            </w:r>
          </w:p>
        </w:tc>
        <w:tc>
          <w:tcPr>
            <w:tcW w:w="2355" w:type="dxa"/>
            <w:vMerge w:val="restart"/>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生物多样性保护</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①已完成不小于市（县）域范围的生物物种资源普查；本地木本植物指数≥0.70；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57" w:type="dxa"/>
            <w:vMerge w:val="restart"/>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36"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spacing w:line="32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320" w:lineRule="exact"/>
              <w:rPr>
                <w:rFonts w:eastAsia="仿宋_GB2312"/>
                <w:kern w:val="0"/>
              </w:rPr>
            </w:pP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②城市要求：已制定《城市生物多样性保护规划》和实施方案；</w:t>
            </w:r>
          </w:p>
          <w:p>
            <w:pPr>
              <w:spacing w:line="320" w:lineRule="exact"/>
              <w:rPr>
                <w:rFonts w:eastAsia="仿宋_GB2312"/>
                <w:kern w:val="0"/>
                <w:sz w:val="24"/>
              </w:rPr>
            </w:pPr>
            <w:r>
              <w:rPr>
                <w:rFonts w:eastAsia="仿宋_GB2312"/>
                <w:kern w:val="0"/>
              </w:rPr>
              <w:t>县城要求：</w:t>
            </w:r>
            <w:r>
              <w:rPr>
                <w:rFonts w:eastAsia="仿宋_GB2312"/>
              </w:rPr>
              <w:t>以生物物种普查为基础，至少在《绿地系统规划》中有生物多样性保护专篇，且生物物种总量保持合理增长，重要物种及其栖息地得到有效保护；</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57" w:type="dxa"/>
            <w:vMerge w:val="continue"/>
            <w:tcBorders>
              <w:left w:val="single" w:color="auto" w:sz="4" w:space="0"/>
              <w:right w:val="single" w:color="auto" w:sz="4" w:space="0"/>
            </w:tcBorders>
            <w:noWrap w:val="0"/>
            <w:vAlign w:val="center"/>
          </w:tcPr>
          <w:p>
            <w:pPr>
              <w:spacing w:line="32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36"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vMerge w:val="continue"/>
            <w:tcBorders>
              <w:left w:val="single" w:color="auto" w:sz="4" w:space="0"/>
              <w:right w:val="single" w:color="auto" w:sz="4" w:space="0"/>
            </w:tcBorders>
            <w:noWrap w:val="0"/>
            <w:vAlign w:val="center"/>
          </w:tcPr>
          <w:p>
            <w:pPr>
              <w:spacing w:line="32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320" w:lineRule="exact"/>
              <w:rPr>
                <w:rFonts w:eastAsia="仿宋_GB2312"/>
                <w:kern w:val="0"/>
              </w:rPr>
            </w:pP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③</w:t>
            </w:r>
            <w:r>
              <w:rPr>
                <w:rFonts w:eastAsia="仿宋_GB2312"/>
              </w:rPr>
              <w:t>结合风景名胜区、植物专类园、综合公园、生产苗圃等建立乡土、适生植物种质资源库，并开展相应的引种驯化和快速繁殖试验研究；</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57" w:type="dxa"/>
            <w:vMerge w:val="continue"/>
            <w:tcBorders>
              <w:left w:val="single" w:color="auto" w:sz="4" w:space="0"/>
              <w:right w:val="single" w:color="auto" w:sz="4" w:space="0"/>
            </w:tcBorders>
            <w:noWrap w:val="0"/>
            <w:vAlign w:val="center"/>
          </w:tcPr>
          <w:p>
            <w:pPr>
              <w:spacing w:line="32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6"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p>
        </w:tc>
        <w:tc>
          <w:tcPr>
            <w:tcW w:w="2355" w:type="dxa"/>
            <w:vMerge w:val="continue"/>
            <w:tcBorders>
              <w:left w:val="single" w:color="auto" w:sz="4" w:space="0"/>
              <w:bottom w:val="single" w:color="auto" w:sz="4" w:space="0"/>
              <w:right w:val="single" w:color="auto" w:sz="4" w:space="0"/>
            </w:tcBorders>
            <w:noWrap w:val="0"/>
            <w:vAlign w:val="center"/>
          </w:tcPr>
          <w:p>
            <w:pPr>
              <w:spacing w:line="320" w:lineRule="exact"/>
              <w:rPr>
                <w:rFonts w:eastAsia="仿宋_GB2312"/>
                <w:kern w:val="0"/>
              </w:rPr>
            </w:pP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④</w:t>
            </w:r>
            <w:r>
              <w:rPr>
                <w:rFonts w:eastAsia="仿宋_GB2312"/>
              </w:rPr>
              <w:t>积极推广应用乡土及适生植物，在试验基础上推广应用自衍草花及宿根花卉等，丰富地被植物品种。</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57" w:type="dxa"/>
            <w:vMerge w:val="continue"/>
            <w:tcBorders>
              <w:left w:val="single" w:color="auto" w:sz="4" w:space="0"/>
              <w:bottom w:val="single" w:color="auto" w:sz="4" w:space="0"/>
              <w:right w:val="single" w:color="auto" w:sz="4" w:space="0"/>
            </w:tcBorders>
            <w:noWrap w:val="0"/>
            <w:vAlign w:val="center"/>
          </w:tcPr>
          <w:p>
            <w:pPr>
              <w:spacing w:line="32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236"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4</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城市湿地资源保护</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①完成规划区内的湿地资源普查；</w:t>
            </w:r>
          </w:p>
          <w:p>
            <w:pPr>
              <w:spacing w:line="320" w:lineRule="exact"/>
              <w:rPr>
                <w:rFonts w:eastAsia="仿宋_GB2312"/>
                <w:kern w:val="0"/>
              </w:rPr>
            </w:pPr>
            <w:r>
              <w:rPr>
                <w:rFonts w:eastAsia="仿宋_GB2312"/>
                <w:kern w:val="0"/>
              </w:rPr>
              <w:t>②</w:t>
            </w:r>
            <w:r>
              <w:rPr>
                <w:rFonts w:eastAsia="仿宋_GB2312"/>
              </w:rPr>
              <w:t>以湿地资源普查为基础，制定湿地资源保护规划及其实施方案；</w:t>
            </w:r>
          </w:p>
          <w:p>
            <w:pPr>
              <w:spacing w:line="320" w:lineRule="exact"/>
              <w:rPr>
                <w:rFonts w:eastAsia="仿宋_GB2312"/>
                <w:kern w:val="0"/>
              </w:rPr>
            </w:pPr>
            <w:r>
              <w:rPr>
                <w:rFonts w:eastAsia="仿宋_GB2312"/>
              </w:rPr>
              <w:t>③规划区内湿地资源保护管理责任明确，管理职能正常行使，资金保障到位。</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p>
            <w:pPr>
              <w:spacing w:line="320" w:lineRule="exact"/>
              <w:ind w:left="-105" w:leftChars="-50" w:right="-105" w:rightChars="-50"/>
              <w:jc w:val="center"/>
              <w:rPr>
                <w:rFonts w:eastAsia="仿宋_GB2312"/>
                <w:kern w:val="0"/>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考查范围为规划区。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236" w:type="dxa"/>
            <w:vMerge w:val="continue"/>
            <w:tcBorders>
              <w:left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5</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山体生态修复</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kern w:val="0"/>
              </w:rPr>
            </w:pPr>
            <w:r>
              <w:rPr>
                <w:rFonts w:eastAsia="仿宋_GB2312"/>
                <w:kern w:val="0"/>
              </w:rPr>
              <w:t>①完成对城市山体现状的摸底与生态评估，自然山体保护完好，无违法违规开山采石、取土以及随意推山取平等现象；</w:t>
            </w:r>
          </w:p>
          <w:p>
            <w:pPr>
              <w:spacing w:line="320" w:lineRule="exact"/>
              <w:rPr>
                <w:rFonts w:eastAsia="仿宋_GB2312"/>
                <w:kern w:val="0"/>
              </w:rPr>
            </w:pPr>
            <w:r>
              <w:rPr>
                <w:rFonts w:eastAsia="仿宋_GB2312"/>
                <w:kern w:val="0"/>
              </w:rPr>
              <w:t>②对被破坏且不能自我恢复的山体，根据其受损情况，采取相应的修坡整形、矿坑回填等工程措施，解决受损山体的安全隐患，恢复山体自然形态。保护山体原有植被，种植乡土、适生植物，重建山体植被群落。</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p>
            <w:pPr>
              <w:spacing w:line="320" w:lineRule="exact"/>
              <w:ind w:left="-105" w:leftChars="-50" w:right="-105" w:rightChars="-50"/>
              <w:jc w:val="center"/>
              <w:rPr>
                <w:rFonts w:eastAsia="仿宋_GB2312"/>
                <w:kern w:val="0"/>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考查范围为规划区。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23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eastAsia="仿宋_GB2312"/>
                <w:b/>
                <w:kern w:val="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kern w:val="0"/>
              </w:rPr>
            </w:pPr>
            <w:r>
              <w:rPr>
                <w:rFonts w:eastAsia="仿宋_GB2312"/>
                <w:kern w:val="0"/>
              </w:rPr>
              <w:t>6</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废弃地生态修复</w:t>
            </w:r>
          </w:p>
        </w:tc>
        <w:tc>
          <w:tcPr>
            <w:tcW w:w="64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kern w:val="0"/>
              </w:rPr>
            </w:pPr>
            <w:r>
              <w:rPr>
                <w:rFonts w:eastAsia="仿宋_GB2312"/>
                <w:kern w:val="0"/>
              </w:rPr>
              <w:t>科学分析城市废弃地的成因、受损程度、场地现状及其周边环境，运用生物、物理、化学等技术改良土壤，消除场地安全隐患。选择种植具有吸收降解功能、抗逆性强的植物，恢复植被群落，</w:t>
            </w:r>
          </w:p>
          <w:p>
            <w:pPr>
              <w:spacing w:line="320" w:lineRule="exact"/>
              <w:rPr>
                <w:rFonts w:eastAsia="仿宋_GB2312"/>
                <w:kern w:val="0"/>
              </w:rPr>
            </w:pPr>
            <w:r>
              <w:rPr>
                <w:rFonts w:eastAsia="仿宋_GB2312"/>
                <w:kern w:val="0"/>
              </w:rPr>
              <w:t>重建生态系统。</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5" w:rightChars="-50"/>
              <w:jc w:val="center"/>
              <w:rPr>
                <w:rFonts w:eastAsia="仿宋_GB2312"/>
                <w:kern w:val="0"/>
              </w:rPr>
            </w:pPr>
            <w:r>
              <w:rPr>
                <w:rFonts w:eastAsia="仿宋_GB2312"/>
                <w:kern w:val="0"/>
              </w:rPr>
              <w:t>县自然资源和规划局</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考查范围为规划区。</w:t>
            </w:r>
          </w:p>
        </w:tc>
      </w:tr>
    </w:tbl>
    <w:p>
      <w:pPr>
        <w:widowControl/>
        <w:jc w:val="left"/>
        <w:rPr>
          <w:b/>
          <w:kern w:val="0"/>
        </w:rPr>
        <w:sectPr>
          <w:footerReference r:id="rId15" w:type="default"/>
          <w:footerReference r:id="rId16" w:type="even"/>
          <w:pgSz w:w="16838" w:h="11906" w:orient="landscape"/>
          <w:pgMar w:top="2041" w:right="1531" w:bottom="1757" w:left="1531" w:header="851" w:footer="1587" w:gutter="0"/>
          <w:cols w:space="720" w:num="1"/>
          <w:docGrid w:type="lines" w:linePitch="317" w:charSpace="0"/>
        </w:sectPr>
      </w:pPr>
    </w:p>
    <w:tbl>
      <w:tblPr>
        <w:tblStyle w:val="4"/>
        <w:tblW w:w="13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570"/>
        <w:gridCol w:w="2355"/>
        <w:gridCol w:w="6435"/>
        <w:gridCol w:w="205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kern w:val="0"/>
              </w:rPr>
            </w:pPr>
            <w:r>
              <w:rPr>
                <w:rFonts w:eastAsia="仿宋_GB2312"/>
                <w:b/>
                <w:kern w:val="0"/>
              </w:rPr>
              <w:t>四、生态环境（9）</w:t>
            </w: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7</w:t>
            </w:r>
          </w:p>
        </w:tc>
        <w:tc>
          <w:tcPr>
            <w:tcW w:w="2355" w:type="dxa"/>
            <w:vMerge w:val="restart"/>
            <w:tcBorders>
              <w:top w:val="single" w:color="auto" w:sz="4" w:space="0"/>
              <w:left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城市水体修复</w:t>
            </w:r>
          </w:p>
        </w:tc>
        <w:tc>
          <w:tcPr>
            <w:tcW w:w="6435" w:type="dxa"/>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①河湖水系保持自然连通，</w:t>
            </w:r>
            <w:r>
              <w:rPr>
                <w:rFonts w:eastAsia="仿宋_GB2312"/>
              </w:rPr>
              <w:t>自然河流水系无裁弯取直、筑坝截流、违法取沙等现象</w:t>
            </w:r>
            <w:r>
              <w:rPr>
                <w:rFonts w:eastAsia="仿宋_GB2312"/>
                <w:kern w:val="0"/>
              </w:rPr>
              <w:t xml:space="preserve">； </w:t>
            </w:r>
          </w:p>
        </w:tc>
        <w:tc>
          <w:tcPr>
            <w:tcW w:w="2055" w:type="dxa"/>
            <w:vMerge w:val="restart"/>
            <w:tcBorders>
              <w:top w:val="single" w:color="auto" w:sz="4" w:space="0"/>
              <w:left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r>
              <w:rPr>
                <w:rFonts w:eastAsia="仿宋_GB2312"/>
                <w:kern w:val="0"/>
              </w:rPr>
              <w:t xml:space="preserve"> 县农业农村局</w:t>
            </w:r>
          </w:p>
        </w:tc>
        <w:tc>
          <w:tcPr>
            <w:tcW w:w="1118"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考查范围为规划区。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②</w:t>
            </w:r>
            <w:r>
              <w:rPr>
                <w:rFonts w:eastAsia="仿宋_GB2312"/>
              </w:rPr>
              <w:t>水体岸线绿化遵循生态学原则，</w:t>
            </w:r>
            <w:r>
              <w:rPr>
                <w:rFonts w:eastAsia="仿宋_GB2312"/>
                <w:kern w:val="0"/>
              </w:rPr>
              <w:t>自然水体的岸线自然化率≥80%；</w:t>
            </w:r>
          </w:p>
        </w:tc>
        <w:tc>
          <w:tcPr>
            <w:tcW w:w="2055" w:type="dxa"/>
            <w:vMerge w:val="continue"/>
            <w:tcBorders>
              <w:left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p>
        </w:tc>
        <w:tc>
          <w:tcPr>
            <w:tcW w:w="1118"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③在保护水体自然形态的前提下，结合海绵城市建设开展以控源截污为基础的水体生态修复，保护水生态环境，恢复水生态系统功能，改善水体水质，提高水环境质量，拓展亲水空间；地表水Ⅳ类及以上水体比率≥40%；</w:t>
            </w:r>
          </w:p>
        </w:tc>
        <w:tc>
          <w:tcPr>
            <w:tcW w:w="2055" w:type="dxa"/>
            <w:tcBorders>
              <w:left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r>
              <w:rPr>
                <w:rFonts w:eastAsia="仿宋_GB2312"/>
                <w:kern w:val="0"/>
              </w:rPr>
              <w:t>市生态环境局嵊泗分局</w:t>
            </w:r>
          </w:p>
        </w:tc>
        <w:tc>
          <w:tcPr>
            <w:tcW w:w="1118"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bottom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④建成区内无黑臭水体，市域范围内无劣V类水体断面。</w:t>
            </w:r>
          </w:p>
        </w:tc>
        <w:tc>
          <w:tcPr>
            <w:tcW w:w="2055" w:type="dxa"/>
            <w:tcBorders>
              <w:left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r>
              <w:rPr>
                <w:rFonts w:eastAsia="仿宋_GB2312"/>
                <w:kern w:val="0"/>
              </w:rPr>
              <w:t>市生态环境局嵊泗分局</w:t>
            </w:r>
          </w:p>
        </w:tc>
        <w:tc>
          <w:tcPr>
            <w:tcW w:w="1118"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8</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全年空气质量优良天数（天）</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≥240天</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市生态环境局嵊泗分局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9</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城市热岛效应强度（℃）</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≤4.0℃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县气象局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仅考核城市。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11"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b/>
                <w:kern w:val="0"/>
              </w:rPr>
            </w:pPr>
            <w:r>
              <w:rPr>
                <w:rFonts w:eastAsia="仿宋_GB2312"/>
                <w:b/>
                <w:kern w:val="0"/>
              </w:rPr>
              <w:t>五、市政设施（</w:t>
            </w:r>
            <w:r>
              <w:rPr>
                <w:rFonts w:hint="eastAsia" w:eastAsia="仿宋_GB2312"/>
                <w:b/>
                <w:kern w:val="0"/>
                <w:lang w:val="en-US" w:eastAsia="zh-CN"/>
              </w:rPr>
              <w:t>7</w:t>
            </w:r>
            <w:r>
              <w:rPr>
                <w:rFonts w:eastAsia="仿宋_GB2312"/>
                <w:b/>
                <w:kern w:val="0"/>
              </w:rPr>
              <w:t>）</w:t>
            </w: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仿宋_GB2312"/>
                <w:kern w:val="0"/>
              </w:rPr>
            </w:pPr>
            <w:r>
              <w:rPr>
                <w:rFonts w:eastAsia="仿宋_GB2312"/>
                <w:kern w:val="0"/>
              </w:rPr>
              <w:t>1</w:t>
            </w:r>
          </w:p>
          <w:p>
            <w:pPr>
              <w:spacing w:line="280" w:lineRule="exact"/>
              <w:jc w:val="center"/>
              <w:rPr>
                <w:rFonts w:eastAsia="仿宋_GB2312"/>
                <w:kern w:val="0"/>
              </w:rPr>
            </w:pPr>
          </w:p>
        </w:tc>
        <w:tc>
          <w:tcPr>
            <w:tcW w:w="2355" w:type="dxa"/>
            <w:vMerge w:val="restart"/>
            <w:tcBorders>
              <w:top w:val="single" w:color="auto" w:sz="4" w:space="0"/>
              <w:left w:val="single" w:color="auto" w:sz="4" w:space="0"/>
              <w:right w:val="single" w:color="auto" w:sz="4" w:space="0"/>
            </w:tcBorders>
            <w:noWrap w:val="0"/>
            <w:vAlign w:val="center"/>
          </w:tcPr>
          <w:p>
            <w:pPr>
              <w:spacing w:line="240" w:lineRule="exact"/>
              <w:rPr>
                <w:rFonts w:eastAsia="仿宋_GB2312"/>
                <w:kern w:val="0"/>
              </w:rPr>
            </w:pPr>
            <w:r>
              <w:rPr>
                <w:rFonts w:eastAsia="仿宋_GB2312"/>
                <w:kern w:val="0"/>
              </w:rPr>
              <w:t>城市容貌评价值</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仿宋_GB2312"/>
                <w:kern w:val="0"/>
              </w:rPr>
            </w:pPr>
            <w:r>
              <w:rPr>
                <w:rFonts w:eastAsia="仿宋_GB2312"/>
              </w:rPr>
              <w:t>城市考核：</w:t>
            </w:r>
            <w:r>
              <w:rPr>
                <w:rFonts w:eastAsia="仿宋_GB2312"/>
                <w:kern w:val="0"/>
              </w:rPr>
              <w:t>城市容貌评价值≥7.00</w:t>
            </w:r>
          </w:p>
          <w:p>
            <w:pPr>
              <w:pStyle w:val="6"/>
              <w:spacing w:line="260" w:lineRule="exact"/>
              <w:ind w:firstLine="0" w:firstLineChars="0"/>
              <w:rPr>
                <w:rFonts w:eastAsia="仿宋_GB2312"/>
                <w:kern w:val="0"/>
                <w:szCs w:val="21"/>
              </w:rPr>
            </w:pPr>
            <w:r>
              <w:rPr>
                <w:rFonts w:eastAsia="仿宋_GB2312"/>
                <w:szCs w:val="21"/>
              </w:rPr>
              <w:t>县城考核：县容县貌，主要内容为</w:t>
            </w:r>
            <w:r>
              <w:rPr>
                <w:rFonts w:eastAsia="仿宋_GB2312"/>
                <w:kern w:val="0"/>
                <w:szCs w:val="21"/>
              </w:rPr>
              <w:t xml:space="preserve">①建成区环境整洁有序，建（构）筑物、公共设施和广告设置等与周边环境相协调，无违法私搭乱建现象。居住小区和街道环卫保洁制度落实，无乱丢弃、乱张贴、乱排放等行为； </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县综合行政执法局</w:t>
            </w:r>
          </w:p>
          <w:p>
            <w:pPr>
              <w:spacing w:line="240" w:lineRule="exact"/>
              <w:ind w:left="-105" w:leftChars="-50" w:right="-105" w:rightChars="-50"/>
              <w:jc w:val="center"/>
              <w:rPr>
                <w:rFonts w:eastAsia="仿宋_GB2312"/>
                <w:kern w:val="0"/>
              </w:rPr>
            </w:pPr>
            <w:r>
              <w:rPr>
                <w:rFonts w:eastAsia="仿宋_GB2312"/>
                <w:kern w:val="0"/>
              </w:rPr>
              <w:t>县住建局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1" w:type="dxa"/>
            <w:vMerge w:val="continue"/>
            <w:tcBorders>
              <w:left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jc w:val="center"/>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bottom w:val="single" w:color="auto" w:sz="4" w:space="0"/>
              <w:right w:val="single" w:color="auto" w:sz="4" w:space="0"/>
            </w:tcBorders>
            <w:noWrap w:val="0"/>
            <w:vAlign w:val="center"/>
          </w:tcPr>
          <w:p>
            <w:pPr>
              <w:pStyle w:val="6"/>
              <w:spacing w:line="260" w:lineRule="exact"/>
              <w:ind w:firstLine="0" w:firstLineChars="0"/>
              <w:rPr>
                <w:rFonts w:eastAsia="仿宋_GB2312"/>
                <w:szCs w:val="21"/>
              </w:rPr>
            </w:pPr>
            <w:r>
              <w:rPr>
                <w:rFonts w:eastAsia="仿宋_GB2312"/>
                <w:kern w:val="0"/>
                <w:szCs w:val="21"/>
              </w:rPr>
              <w:t xml:space="preserve">②商业店铺：灯箱、广告、招牌、霓虹灯、门楼装璜、店面装饰等设置符合建设管理要求，无违规设摊、占道经营现象； </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县综合行政执法局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1" w:type="dxa"/>
            <w:vMerge w:val="continue"/>
            <w:tcBorders>
              <w:left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bottom w:val="single" w:color="auto" w:sz="4" w:space="0"/>
              <w:right w:val="single" w:color="auto" w:sz="4" w:space="0"/>
            </w:tcBorders>
            <w:noWrap w:val="0"/>
            <w:vAlign w:val="center"/>
          </w:tcPr>
          <w:p>
            <w:pPr>
              <w:pStyle w:val="6"/>
              <w:spacing w:line="260" w:lineRule="exact"/>
              <w:ind w:firstLine="0" w:firstLineChars="0"/>
              <w:rPr>
                <w:rFonts w:eastAsia="仿宋_GB2312"/>
                <w:kern w:val="0"/>
                <w:szCs w:val="21"/>
              </w:rPr>
            </w:pPr>
            <w:r>
              <w:rPr>
                <w:rFonts w:eastAsia="仿宋_GB2312"/>
                <w:kern w:val="0"/>
                <w:szCs w:val="21"/>
              </w:rPr>
              <w:t>③交通与停车管理：建成区交通安全管理有序，车辆停靠管理规范；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县公安局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1" w:type="dxa"/>
            <w:vMerge w:val="continue"/>
            <w:tcBorders>
              <w:left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仿宋_GB2312"/>
                <w:kern w:val="0"/>
              </w:rPr>
            </w:pPr>
            <w:r>
              <w:rPr>
                <w:rFonts w:eastAsia="仿宋_GB2312"/>
                <w:kern w:val="0"/>
              </w:rPr>
              <w:t>④公厕数量达标，设置合理，管理到位。设置密度≥3座/km</w:t>
            </w:r>
            <w:r>
              <w:rPr>
                <w:rFonts w:eastAsia="仿宋_GB2312"/>
                <w:kern w:val="0"/>
                <w:vertAlign w:val="superscript"/>
              </w:rPr>
              <w:t>2</w:t>
            </w:r>
            <w:r>
              <w:rPr>
                <w:rFonts w:eastAsia="仿宋_GB2312"/>
                <w:kern w:val="0"/>
              </w:rPr>
              <w:t>，设置间距应满足《环境卫生设施设置标准》相关要求;</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县综合行政执法局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1"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b/>
                <w:kern w:val="0"/>
              </w:rPr>
            </w:pPr>
          </w:p>
        </w:tc>
        <w:tc>
          <w:tcPr>
            <w:tcW w:w="570" w:type="dxa"/>
            <w:vMerge w:val="continue"/>
            <w:tcBorders>
              <w:left w:val="single" w:color="auto" w:sz="4" w:space="0"/>
              <w:right w:val="single" w:color="auto" w:sz="4" w:space="0"/>
            </w:tcBorders>
            <w:noWrap w:val="0"/>
            <w:vAlign w:val="center"/>
          </w:tcPr>
          <w:p>
            <w:pPr>
              <w:spacing w:line="280" w:lineRule="exact"/>
              <w:rPr>
                <w:rFonts w:eastAsia="仿宋_GB2312"/>
                <w:kern w:val="0"/>
              </w:rPr>
            </w:pPr>
          </w:p>
        </w:tc>
        <w:tc>
          <w:tcPr>
            <w:tcW w:w="2355" w:type="dxa"/>
            <w:vMerge w:val="continue"/>
            <w:tcBorders>
              <w:left w:val="single" w:color="auto" w:sz="4" w:space="0"/>
              <w:right w:val="single" w:color="auto" w:sz="4" w:space="0"/>
            </w:tcBorders>
            <w:noWrap w:val="0"/>
            <w:vAlign w:val="center"/>
          </w:tcPr>
          <w:p>
            <w:pPr>
              <w:spacing w:line="240" w:lineRule="exact"/>
              <w:rPr>
                <w:rFonts w:eastAsia="仿宋_GB2312"/>
                <w:kern w:val="0"/>
              </w:rPr>
            </w:pPr>
          </w:p>
        </w:tc>
        <w:tc>
          <w:tcPr>
            <w:tcW w:w="64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kern w:val="0"/>
              </w:rPr>
            </w:pPr>
            <w:r>
              <w:rPr>
                <w:rFonts w:eastAsia="仿宋_GB2312"/>
                <w:bCs/>
                <w:kern w:val="0"/>
              </w:rPr>
              <w:t>⑤规范户外缆线架设，整治乱接乱牵、杂乱无序、线缆松垮垂落现象；统筹推进电力、电信、广电等架空线网共线共杆建设；实施架空线入地改造，主要街道率先实施；有条件的县城建设地下综合管沟、地下综合管廊。</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eastAsia="仿宋_GB2312"/>
                <w:kern w:val="0"/>
              </w:rPr>
            </w:pPr>
            <w:r>
              <w:rPr>
                <w:rFonts w:eastAsia="仿宋_GB2312"/>
                <w:kern w:val="0"/>
              </w:rPr>
              <w:t>县经信局</w:t>
            </w:r>
          </w:p>
          <w:p>
            <w:pPr>
              <w:spacing w:line="240" w:lineRule="exact"/>
              <w:ind w:left="-105" w:leftChars="-50" w:right="-105" w:rightChars="-50"/>
              <w:jc w:val="center"/>
              <w:rPr>
                <w:rFonts w:eastAsia="仿宋_GB2312"/>
                <w:kern w:val="0"/>
              </w:rPr>
            </w:pPr>
            <w:r>
              <w:rPr>
                <w:rFonts w:eastAsia="仿宋_GB2312"/>
                <w:kern w:val="0"/>
              </w:rPr>
              <w:t>县住建局</w:t>
            </w:r>
          </w:p>
        </w:tc>
        <w:tc>
          <w:tcPr>
            <w:tcW w:w="1118" w:type="dxa"/>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p>
        </w:tc>
      </w:tr>
    </w:tbl>
    <w:p>
      <w:pPr>
        <w:spacing w:line="280" w:lineRule="exact"/>
        <w:rPr>
          <w:rFonts w:hAnsi="宋体"/>
          <w:b/>
          <w:kern w:val="0"/>
        </w:rPr>
        <w:sectPr>
          <w:footerReference r:id="rId17" w:type="default"/>
          <w:footerReference r:id="rId18" w:type="even"/>
          <w:pgSz w:w="16838" w:h="11906" w:orient="landscape"/>
          <w:pgMar w:top="2041" w:right="1531" w:bottom="1757" w:left="1531" w:header="851" w:footer="1587" w:gutter="0"/>
          <w:cols w:space="720" w:num="1"/>
          <w:docGrid w:type="lines" w:linePitch="317" w:charSpace="0"/>
        </w:sectPr>
      </w:pPr>
    </w:p>
    <w:tbl>
      <w:tblPr>
        <w:tblStyle w:val="4"/>
        <w:tblW w:w="13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570"/>
        <w:gridCol w:w="2340"/>
        <w:gridCol w:w="6465"/>
        <w:gridCol w:w="202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restart"/>
            <w:tcBorders>
              <w:top w:val="single" w:color="auto" w:sz="4" w:space="0"/>
              <w:left w:val="single" w:color="auto" w:sz="4" w:space="0"/>
              <w:right w:val="single" w:color="auto" w:sz="4" w:space="0"/>
            </w:tcBorders>
            <w:noWrap w:val="0"/>
            <w:vAlign w:val="center"/>
          </w:tcPr>
          <w:p>
            <w:pPr>
              <w:widowControl/>
              <w:jc w:val="left"/>
              <w:rPr>
                <w:rFonts w:eastAsia="仿宋_GB2312"/>
                <w:b/>
                <w:kern w:val="0"/>
              </w:rPr>
            </w:pPr>
            <w:r>
              <w:rPr>
                <w:rFonts w:eastAsia="仿宋_GB2312"/>
                <w:b/>
                <w:kern w:val="0"/>
              </w:rPr>
              <w:t>五、市政设施（</w:t>
            </w:r>
            <w:r>
              <w:rPr>
                <w:rFonts w:hint="eastAsia" w:eastAsia="仿宋_GB2312"/>
                <w:b/>
                <w:kern w:val="0"/>
                <w:lang w:val="en-US" w:eastAsia="zh-CN"/>
              </w:rPr>
              <w:t>7</w:t>
            </w:r>
            <w:r>
              <w:rPr>
                <w:rFonts w:eastAsia="仿宋_GB2312"/>
                <w:b/>
                <w:kern w:val="0"/>
              </w:rPr>
              <w:t>）</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lang w:eastAsia="zh-CN"/>
              </w:rPr>
            </w:pPr>
            <w:r>
              <w:rPr>
                <w:rFonts w:hint="eastAsia" w:eastAsia="仿宋_GB2312"/>
                <w:kern w:val="0"/>
                <w:lang w:val="en-US" w:eastAsia="zh-CN"/>
              </w:rPr>
              <w:t>2</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城市管网水检验项目合格率（%）</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≥99%</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r>
              <w:rPr>
                <w:rFonts w:eastAsia="仿宋_GB2312"/>
                <w:kern w:val="0"/>
              </w:rPr>
              <w:t>县卫生健康局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51"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eastAsia="仿宋_GB2312"/>
                <w:kern w:val="0"/>
                <w:lang w:eastAsia="zh-CN"/>
              </w:rPr>
            </w:pPr>
            <w:r>
              <w:rPr>
                <w:rFonts w:hint="eastAsia" w:eastAsia="仿宋_GB2312"/>
                <w:kern w:val="0"/>
                <w:lang w:val="en-US" w:eastAsia="zh-CN"/>
              </w:rPr>
              <w:t>3</w:t>
            </w:r>
          </w:p>
        </w:tc>
        <w:tc>
          <w:tcPr>
            <w:tcW w:w="2340"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城市污水处理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①污水处理率≥85%（2020年后应≥90%）；</w:t>
            </w:r>
          </w:p>
          <w:p>
            <w:pPr>
              <w:spacing w:line="320" w:lineRule="exact"/>
              <w:rPr>
                <w:rFonts w:eastAsia="仿宋_GB2312"/>
                <w:kern w:val="0"/>
              </w:rPr>
            </w:pPr>
            <w:r>
              <w:rPr>
                <w:rFonts w:eastAsia="仿宋_GB2312"/>
                <w:kern w:val="0"/>
              </w:rPr>
              <w:t>②污水处理污泥处置达标率≥90%；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171"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w:t>
            </w:r>
            <w:r>
              <w:rPr>
                <w:rFonts w:eastAsia="仿宋_GB2312"/>
              </w:rPr>
              <w:t>①为</w:t>
            </w:r>
            <w:r>
              <w:rPr>
                <w:rFonts w:eastAsia="仿宋_GB2312"/>
                <w:u w:val="double"/>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1"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7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仿宋_GB2312"/>
                <w:kern w:val="0"/>
              </w:rPr>
            </w:pPr>
          </w:p>
        </w:tc>
        <w:tc>
          <w:tcPr>
            <w:tcW w:w="2340"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c>
          <w:tcPr>
            <w:tcW w:w="6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③新建城区采用雨污分流建设，老城区有雨污分流改造计划并完成上级部门下达的年度改造目标任务。</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县住建局</w:t>
            </w:r>
          </w:p>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tc>
        <w:tc>
          <w:tcPr>
            <w:tcW w:w="1171" w:type="dxa"/>
            <w:vMerge w:val="continue"/>
            <w:tcBorders>
              <w:left w:val="single" w:color="auto" w:sz="4" w:space="0"/>
              <w:bottom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tcBorders>
              <w:left w:val="single" w:color="auto" w:sz="4" w:space="0"/>
              <w:right w:val="single" w:color="auto" w:sz="4" w:space="0"/>
            </w:tcBorders>
            <w:noWrap w:val="0"/>
            <w:vAlign w:val="center"/>
          </w:tcPr>
          <w:p>
            <w:pPr>
              <w:widowControl/>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lang w:eastAsia="zh-CN"/>
              </w:rPr>
            </w:pPr>
            <w:r>
              <w:rPr>
                <w:rFonts w:hint="eastAsia" w:eastAsia="仿宋_GB2312"/>
                <w:kern w:val="0"/>
                <w:lang w:val="en-US" w:eastAsia="zh-CN"/>
              </w:rPr>
              <w:t>4</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城市生活垃圾无害化处理率（%）</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kern w:val="0"/>
              </w:rPr>
            </w:pPr>
            <w:r>
              <w:rPr>
                <w:rFonts w:eastAsia="仿宋_GB2312"/>
                <w:kern w:val="0"/>
              </w:rPr>
              <w:t>①生活垃圾无害化处理率达到100%；</w:t>
            </w:r>
          </w:p>
          <w:p>
            <w:pPr>
              <w:spacing w:line="320" w:lineRule="exact"/>
              <w:rPr>
                <w:rFonts w:eastAsia="仿宋_GB2312"/>
                <w:kern w:val="0"/>
              </w:rPr>
            </w:pPr>
            <w:r>
              <w:rPr>
                <w:rFonts w:eastAsia="仿宋_GB2312"/>
                <w:kern w:val="0"/>
              </w:rPr>
              <w:t>②生活垃圾填埋场达到Ⅱ级标准，生活垃圾焚烧厂达到1A级标准；</w:t>
            </w:r>
          </w:p>
          <w:p>
            <w:pPr>
              <w:pStyle w:val="6"/>
              <w:spacing w:line="320" w:lineRule="exact"/>
              <w:ind w:firstLine="0" w:firstLineChars="0"/>
              <w:rPr>
                <w:rFonts w:eastAsia="仿宋_GB2312"/>
                <w:kern w:val="0"/>
                <w:szCs w:val="21"/>
              </w:rPr>
            </w:pPr>
            <w:r>
              <w:rPr>
                <w:rFonts w:eastAsia="仿宋_GB2312"/>
                <w:kern w:val="0"/>
                <w:szCs w:val="21"/>
              </w:rPr>
              <w:t>③</w:t>
            </w:r>
            <w:r>
              <w:rPr>
                <w:rFonts w:eastAsia="仿宋_GB2312"/>
                <w:szCs w:val="21"/>
              </w:rPr>
              <w:t>垃圾分类工作完成年度目标任务。</w:t>
            </w:r>
            <w:r>
              <w:rPr>
                <w:rFonts w:eastAsia="仿宋_GB2312"/>
                <w:kern w:val="0"/>
                <w:szCs w:val="21"/>
              </w:rPr>
              <w:t>生活垃圾回收利用率≥25%；</w:t>
            </w:r>
          </w:p>
          <w:p>
            <w:pPr>
              <w:spacing w:line="280" w:lineRule="exact"/>
              <w:rPr>
                <w:rFonts w:eastAsia="仿宋_GB2312"/>
                <w:kern w:val="0"/>
              </w:rPr>
            </w:pPr>
            <w:r>
              <w:rPr>
                <w:rFonts w:eastAsia="仿宋_GB2312"/>
                <w:kern w:val="0"/>
              </w:rPr>
              <w:t>④建筑垃圾和餐厨垃圾回收利用体系基本建立。</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p>
            <w:pPr>
              <w:spacing w:line="280" w:lineRule="exact"/>
              <w:ind w:left="-105" w:leftChars="-50" w:right="-105" w:rightChars="-50"/>
              <w:jc w:val="center"/>
              <w:rPr>
                <w:rFonts w:eastAsia="仿宋_GB2312"/>
                <w:kern w:val="0"/>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rPr>
              <w:t>①③为</w:t>
            </w:r>
            <w:r>
              <w:rPr>
                <w:rFonts w:eastAsia="仿宋_GB2312"/>
                <w:u w:val="double"/>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51" w:type="dxa"/>
            <w:vMerge w:val="continue"/>
            <w:tcBorders>
              <w:left w:val="single" w:color="auto" w:sz="4" w:space="0"/>
              <w:right w:val="single" w:color="auto" w:sz="4" w:space="0"/>
            </w:tcBorders>
            <w:noWrap w:val="0"/>
            <w:vAlign w:val="center"/>
          </w:tcPr>
          <w:p>
            <w:pPr>
              <w:spacing w:line="280" w:lineRule="exact"/>
              <w:jc w:val="left"/>
              <w:rPr>
                <w:rFonts w:eastAsia="仿宋_GB2312"/>
                <w:b/>
                <w:kern w:val="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仿宋_GB2312"/>
                <w:kern w:val="0"/>
                <w:lang w:eastAsia="zh-CN"/>
              </w:rPr>
            </w:pPr>
            <w:r>
              <w:rPr>
                <w:rFonts w:hint="eastAsia" w:eastAsia="仿宋_GB2312"/>
                <w:kern w:val="0"/>
                <w:lang w:val="en-US" w:eastAsia="zh-CN"/>
              </w:rPr>
              <w:t>5</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城市道路建设</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①市道路完好率≥95%；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5" w:leftChars="-50" w:right="-105" w:rightChars="-50"/>
              <w:jc w:val="center"/>
              <w:rPr>
                <w:rFonts w:eastAsia="仿宋_GB2312"/>
                <w:kern w:val="0"/>
              </w:rPr>
            </w:pPr>
            <w:r>
              <w:rPr>
                <w:rFonts w:eastAsia="仿宋_GB2312"/>
                <w:kern w:val="0"/>
              </w:rPr>
              <w:t>县综合行政执法局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县城仅考核①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51" w:type="dxa"/>
            <w:vMerge w:val="continue"/>
            <w:tcBorders>
              <w:left w:val="single" w:color="auto" w:sz="4" w:space="0"/>
              <w:right w:val="single" w:color="auto" w:sz="4" w:space="0"/>
            </w:tcBorders>
            <w:noWrap w:val="0"/>
            <w:vAlign w:val="center"/>
          </w:tcPr>
          <w:p>
            <w:pPr>
              <w:spacing w:line="280" w:lineRule="exact"/>
              <w:jc w:val="left"/>
              <w:rPr>
                <w:rFonts w:eastAsia="仿宋_GB2312"/>
                <w:b/>
                <w:kern w:val="0"/>
              </w:rPr>
            </w:pP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eastAsia="仿宋_GB2312"/>
                <w:kern w:val="0"/>
                <w:lang w:val="en-US" w:eastAsia="zh-CN"/>
              </w:rPr>
            </w:pPr>
            <w:r>
              <w:rPr>
                <w:rFonts w:hint="eastAsia" w:eastAsia="仿宋_GB2312"/>
                <w:kern w:val="0"/>
                <w:lang w:val="en-US" w:eastAsia="zh-CN"/>
              </w:rPr>
              <w:t>6</w:t>
            </w:r>
          </w:p>
        </w:tc>
        <w:tc>
          <w:tcPr>
            <w:tcW w:w="2340"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bCs/>
                <w:kern w:val="0"/>
              </w:rPr>
              <w:t>城市景观照明控制</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①体育场、建筑工地和道路照明等功能性照明外，所有室外公共活动空间或景物的夜间照明严格按照《城市夜景照明设计规范》进行设计，被照对象照度、亮度、照明均匀度及限制光污染指标等均达到规范要求，低效照明产品全部淘汰；</w:t>
            </w:r>
          </w:p>
        </w:tc>
        <w:tc>
          <w:tcPr>
            <w:tcW w:w="2026"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p>
            <w:pPr>
              <w:spacing w:line="280" w:lineRule="exact"/>
              <w:ind w:left="-105" w:leftChars="-50" w:right="-105" w:rightChars="-50"/>
              <w:jc w:val="center"/>
              <w:rPr>
                <w:rFonts w:eastAsia="仿宋_GB2312"/>
                <w:kern w:val="0"/>
              </w:rPr>
            </w:pPr>
            <w:r>
              <w:rPr>
                <w:rFonts w:eastAsia="仿宋_GB2312"/>
                <w:kern w:val="0"/>
              </w:rPr>
              <w:t>县住建局</w:t>
            </w:r>
          </w:p>
        </w:tc>
        <w:tc>
          <w:tcPr>
            <w:tcW w:w="1171"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仅考核城市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51" w:type="dxa"/>
            <w:vMerge w:val="continue"/>
            <w:tcBorders>
              <w:left w:val="single" w:color="auto" w:sz="4" w:space="0"/>
              <w:right w:val="single" w:color="auto" w:sz="4" w:space="0"/>
            </w:tcBorders>
            <w:noWrap w:val="0"/>
            <w:vAlign w:val="center"/>
          </w:tcPr>
          <w:p>
            <w:pPr>
              <w:autoSpaceDE w:val="0"/>
              <w:autoSpaceDN w:val="0"/>
              <w:adjustRightInd w:val="0"/>
              <w:spacing w:line="280" w:lineRule="exact"/>
              <w:jc w:val="left"/>
            </w:pPr>
          </w:p>
        </w:tc>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pPr>
          </w:p>
        </w:tc>
        <w:tc>
          <w:tcPr>
            <w:tcW w:w="234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pPr>
          </w:p>
        </w:tc>
        <w:tc>
          <w:tcPr>
            <w:tcW w:w="6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kern w:val="0"/>
              </w:rPr>
              <w:t>②城市照明功率密度（LPD）达标率≥85%。</w:t>
            </w:r>
          </w:p>
        </w:tc>
        <w:tc>
          <w:tcPr>
            <w:tcW w:w="2026"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p>
        </w:tc>
        <w:tc>
          <w:tcPr>
            <w:tcW w:w="117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51" w:type="dxa"/>
            <w:vMerge w:val="continue"/>
            <w:tcBorders>
              <w:left w:val="single" w:color="auto" w:sz="4" w:space="0"/>
              <w:right w:val="single" w:color="auto" w:sz="4" w:space="0"/>
            </w:tcBorders>
            <w:noWrap w:val="0"/>
            <w:vAlign w:val="center"/>
          </w:tcPr>
          <w:p>
            <w:pPr>
              <w:spacing w:line="280" w:lineRule="exact"/>
              <w:jc w:val="left"/>
              <w:rPr>
                <w:rFonts w:eastAsia="仿宋_GB2312"/>
                <w:b/>
                <w:kern w:val="0"/>
              </w:rPr>
            </w:pPr>
          </w:p>
        </w:tc>
        <w:tc>
          <w:tcPr>
            <w:tcW w:w="57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eastAsia="仿宋_GB2312"/>
                <w:kern w:val="0"/>
                <w:lang w:val="en-US" w:eastAsia="zh-CN"/>
              </w:rPr>
            </w:pPr>
            <w:r>
              <w:rPr>
                <w:rFonts w:hint="eastAsia" w:eastAsia="仿宋_GB2312"/>
                <w:kern w:val="0"/>
                <w:lang w:val="en-US" w:eastAsia="zh-CN"/>
              </w:rPr>
              <w:t>7</w:t>
            </w:r>
          </w:p>
        </w:tc>
        <w:tc>
          <w:tcPr>
            <w:tcW w:w="2340"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eastAsia="仿宋_GB2312"/>
                <w:kern w:val="0"/>
              </w:rPr>
              <w:t>市政基础设施安全运行</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kern w:val="0"/>
              </w:rPr>
            </w:pPr>
            <w:r>
              <w:rPr>
                <w:rFonts w:eastAsia="仿宋_GB2312"/>
                <w:szCs w:val="21"/>
              </w:rPr>
              <w:t>①</w:t>
            </w:r>
            <w:r>
              <w:rPr>
                <w:rFonts w:eastAsia="仿宋_GB2312"/>
                <w:kern w:val="0"/>
                <w:szCs w:val="21"/>
              </w:rPr>
              <w:t>供水、供气、市容环卫、园林绿化、</w:t>
            </w:r>
            <w:r>
              <w:rPr>
                <w:rFonts w:eastAsia="仿宋_GB2312"/>
                <w:szCs w:val="21"/>
              </w:rPr>
              <w:t>地下管网、道路桥梁等市政基础设施档案健全；</w:t>
            </w:r>
          </w:p>
        </w:tc>
        <w:tc>
          <w:tcPr>
            <w:tcW w:w="2026" w:type="dxa"/>
            <w:vMerge w:val="restart"/>
            <w:tcBorders>
              <w:top w:val="single" w:color="auto" w:sz="4" w:space="0"/>
              <w:left w:val="single" w:color="auto" w:sz="4" w:space="0"/>
              <w:right w:val="single" w:color="auto" w:sz="4" w:space="0"/>
            </w:tcBorders>
            <w:noWrap w:val="0"/>
            <w:vAlign w:val="center"/>
          </w:tcPr>
          <w:p>
            <w:pPr>
              <w:tabs>
                <w:tab w:val="left" w:pos="1117"/>
              </w:tabs>
              <w:spacing w:line="280" w:lineRule="exact"/>
              <w:ind w:left="-105" w:leftChars="-50" w:right="-105" w:rightChars="-50"/>
              <w:jc w:val="center"/>
              <w:rPr>
                <w:rFonts w:eastAsia="仿宋_GB2312"/>
                <w:kern w:val="0"/>
              </w:rPr>
            </w:pPr>
            <w:r>
              <w:rPr>
                <w:rFonts w:eastAsia="仿宋_GB2312"/>
                <w:kern w:val="0"/>
              </w:rPr>
              <w:t>县综合行政执法局</w:t>
            </w:r>
          </w:p>
          <w:p>
            <w:pPr>
              <w:spacing w:line="280" w:lineRule="exact"/>
              <w:ind w:left="-105" w:leftChars="-50" w:right="-105" w:rightChars="-50"/>
              <w:jc w:val="center"/>
              <w:rPr>
                <w:rFonts w:eastAsia="仿宋_GB2312"/>
                <w:kern w:val="0"/>
              </w:rPr>
            </w:pPr>
            <w:r>
              <w:rPr>
                <w:rFonts w:eastAsia="仿宋_GB2312"/>
                <w:kern w:val="0"/>
              </w:rPr>
              <w:t>县农业农村局</w:t>
            </w:r>
          </w:p>
        </w:tc>
        <w:tc>
          <w:tcPr>
            <w:tcW w:w="1171" w:type="dxa"/>
            <w:vMerge w:val="restart"/>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51" w:type="dxa"/>
            <w:vMerge w:val="continue"/>
            <w:tcBorders>
              <w:left w:val="single" w:color="auto" w:sz="4" w:space="0"/>
              <w:right w:val="single" w:color="auto" w:sz="4" w:space="0"/>
            </w:tcBorders>
            <w:noWrap w:val="0"/>
            <w:vAlign w:val="center"/>
          </w:tcPr>
          <w:p>
            <w:pPr>
              <w:autoSpaceDE w:val="0"/>
              <w:autoSpaceDN w:val="0"/>
              <w:adjustRightInd w:val="0"/>
              <w:spacing w:line="280" w:lineRule="exact"/>
              <w:jc w:val="left"/>
            </w:pPr>
          </w:p>
        </w:tc>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pPr>
          </w:p>
        </w:tc>
        <w:tc>
          <w:tcPr>
            <w:tcW w:w="234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pPr>
          </w:p>
        </w:tc>
        <w:tc>
          <w:tcPr>
            <w:tcW w:w="6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szCs w:val="21"/>
              </w:rPr>
            </w:pPr>
            <w:r>
              <w:rPr>
                <w:rFonts w:eastAsia="仿宋_GB2312"/>
              </w:rPr>
              <w:t>②运行管理制度完善，监管到位，安全运行得到保障。</w:t>
            </w:r>
          </w:p>
        </w:tc>
        <w:tc>
          <w:tcPr>
            <w:tcW w:w="2026"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szCs w:val="21"/>
              </w:rPr>
            </w:pPr>
          </w:p>
        </w:tc>
        <w:tc>
          <w:tcPr>
            <w:tcW w:w="117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51" w:type="dxa"/>
            <w:tcBorders>
              <w:left w:val="single" w:color="auto" w:sz="4" w:space="0"/>
              <w:right w:val="single" w:color="auto" w:sz="4" w:space="0"/>
            </w:tcBorders>
            <w:noWrap w:val="0"/>
            <w:vAlign w:val="center"/>
          </w:tcPr>
          <w:p>
            <w:pPr>
              <w:spacing w:line="280" w:lineRule="exact"/>
              <w:jc w:val="left"/>
              <w:rPr>
                <w:rFonts w:eastAsia="仿宋_GB2312"/>
                <w:b/>
                <w:kern w:val="0"/>
              </w:rPr>
            </w:pPr>
            <w:r>
              <w:rPr>
                <w:rFonts w:eastAsia="仿宋_GB2312"/>
                <w:b/>
                <w:kern w:val="0"/>
              </w:rPr>
              <w:t>六、</w:t>
            </w:r>
            <w:r>
              <w:rPr>
                <w:rFonts w:hint="eastAsia" w:eastAsia="仿宋_GB2312"/>
                <w:b/>
                <w:kern w:val="0"/>
              </w:rPr>
              <w:t>节能减排（</w:t>
            </w:r>
            <w:r>
              <w:rPr>
                <w:rFonts w:hint="eastAsia" w:eastAsia="仿宋_GB2312"/>
                <w:b/>
                <w:kern w:val="0"/>
                <w:lang w:val="en-US" w:eastAsia="zh-CN"/>
              </w:rPr>
              <w:t>3</w:t>
            </w:r>
            <w:r>
              <w:rPr>
                <w:rFonts w:hint="eastAsia" w:eastAsia="仿宋_GB2312"/>
                <w:b/>
                <w:kern w:val="0"/>
              </w:rPr>
              <w:t>）</w:t>
            </w:r>
          </w:p>
        </w:tc>
        <w:tc>
          <w:tcPr>
            <w:tcW w:w="570" w:type="dxa"/>
            <w:tcBorders>
              <w:top w:val="single" w:color="auto" w:sz="4" w:space="0"/>
              <w:left w:val="single" w:color="auto" w:sz="4" w:space="0"/>
              <w:right w:val="single" w:color="auto" w:sz="4" w:space="0"/>
            </w:tcBorders>
            <w:noWrap w:val="0"/>
            <w:vAlign w:val="center"/>
          </w:tcPr>
          <w:p>
            <w:pPr>
              <w:spacing w:line="240" w:lineRule="auto"/>
              <w:jc w:val="center"/>
              <w:rPr>
                <w:rFonts w:eastAsia="仿宋_GB2312"/>
                <w:kern w:val="0"/>
              </w:rPr>
            </w:pPr>
            <w:r>
              <w:rPr>
                <w:rFonts w:eastAsia="仿宋_GB2312"/>
                <w:kern w:val="0"/>
              </w:rPr>
              <w:t>1</w:t>
            </w:r>
          </w:p>
        </w:tc>
        <w:tc>
          <w:tcPr>
            <w:tcW w:w="2340" w:type="dxa"/>
            <w:tcBorders>
              <w:top w:val="single" w:color="auto" w:sz="4" w:space="0"/>
              <w:left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林荫路推广率(%)</w:t>
            </w:r>
          </w:p>
        </w:tc>
        <w:tc>
          <w:tcPr>
            <w:tcW w:w="6465" w:type="dxa"/>
            <w:tcBorders>
              <w:top w:val="single" w:color="auto" w:sz="4" w:space="0"/>
              <w:left w:val="single" w:color="auto" w:sz="4" w:space="0"/>
              <w:right w:val="single" w:color="auto" w:sz="4" w:space="0"/>
            </w:tcBorders>
            <w:noWrap w:val="0"/>
            <w:vAlign w:val="center"/>
          </w:tcPr>
          <w:p>
            <w:pPr>
              <w:spacing w:line="320" w:lineRule="exact"/>
              <w:rPr>
                <w:rFonts w:eastAsia="仿宋_GB2312"/>
                <w:kern w:val="0"/>
              </w:rPr>
            </w:pPr>
            <w:r>
              <w:rPr>
                <w:rFonts w:hint="eastAsia" w:eastAsia="仿宋_GB2312"/>
                <w:kern w:val="0"/>
              </w:rPr>
              <w:t>≥70%</w:t>
            </w:r>
          </w:p>
        </w:tc>
        <w:tc>
          <w:tcPr>
            <w:tcW w:w="2026" w:type="dxa"/>
            <w:tcBorders>
              <w:top w:val="single" w:color="auto" w:sz="4" w:space="0"/>
              <w:left w:val="single" w:color="auto" w:sz="4" w:space="0"/>
              <w:right w:val="single" w:color="auto" w:sz="4" w:space="0"/>
            </w:tcBorders>
            <w:noWrap w:val="0"/>
            <w:vAlign w:val="center"/>
          </w:tcPr>
          <w:p>
            <w:pPr>
              <w:tabs>
                <w:tab w:val="left" w:pos="1117"/>
              </w:tabs>
              <w:spacing w:line="280" w:lineRule="exact"/>
              <w:ind w:left="0" w:leftChars="0" w:right="-105" w:rightChars="-50"/>
              <w:jc w:val="left"/>
              <w:rPr>
                <w:rFonts w:hint="eastAsia" w:eastAsia="仿宋_GB2312"/>
                <w:kern w:val="0"/>
              </w:rPr>
            </w:pPr>
            <w:r>
              <w:rPr>
                <w:rFonts w:hint="eastAsia" w:eastAsia="仿宋_GB2312"/>
                <w:kern w:val="0"/>
              </w:rPr>
              <w:t>县绿化建设指挥部</w:t>
            </w:r>
          </w:p>
          <w:p>
            <w:pPr>
              <w:tabs>
                <w:tab w:val="left" w:pos="1117"/>
              </w:tabs>
              <w:spacing w:line="280" w:lineRule="exact"/>
              <w:ind w:left="-105" w:leftChars="-50" w:right="-105" w:rightChars="-50"/>
              <w:jc w:val="center"/>
              <w:rPr>
                <w:rFonts w:eastAsia="仿宋_GB2312"/>
                <w:kern w:val="0"/>
              </w:rPr>
            </w:pPr>
            <w:r>
              <w:rPr>
                <w:rFonts w:hint="eastAsia" w:eastAsia="仿宋_GB2312"/>
                <w:kern w:val="0"/>
              </w:rPr>
              <w:t>县综合行政执法局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kern w:val="0"/>
              </w:rPr>
            </w:pPr>
            <w:r>
              <w:rPr>
                <w:rFonts w:hint="eastAsia" w:eastAsia="仿宋_GB2312"/>
                <w:kern w:val="0"/>
              </w:rPr>
              <w:t>考核范围为建成区</w:t>
            </w:r>
          </w:p>
        </w:tc>
      </w:tr>
    </w:tbl>
    <w:p>
      <w:pPr>
        <w:widowControl/>
        <w:jc w:val="left"/>
        <w:rPr>
          <w:b/>
          <w:kern w:val="0"/>
        </w:rPr>
        <w:sectPr>
          <w:footerReference r:id="rId19" w:type="default"/>
          <w:footerReference r:id="rId20" w:type="even"/>
          <w:pgSz w:w="16838" w:h="11906" w:orient="landscape"/>
          <w:pgMar w:top="2041" w:right="1531" w:bottom="1757" w:left="1531" w:header="851" w:footer="1587" w:gutter="0"/>
          <w:cols w:space="720" w:num="1"/>
          <w:docGrid w:type="lines" w:linePitch="317" w:charSpace="0"/>
        </w:sectPr>
      </w:pPr>
    </w:p>
    <w:tbl>
      <w:tblPr>
        <w:tblStyle w:val="4"/>
        <w:tblW w:w="13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370"/>
        <w:gridCol w:w="6450"/>
        <w:gridCol w:w="2021"/>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widowControl/>
              <w:spacing w:line="300" w:lineRule="exact"/>
              <w:jc w:val="left"/>
              <w:rPr>
                <w:rFonts w:eastAsia="仿宋_GB2312"/>
                <w:b/>
                <w:kern w:val="0"/>
              </w:rPr>
            </w:pPr>
            <w:r>
              <w:rPr>
                <w:rFonts w:eastAsia="仿宋_GB2312"/>
                <w:b/>
                <w:kern w:val="0"/>
              </w:rPr>
              <w:t>六、</w:t>
            </w:r>
            <w:r>
              <w:rPr>
                <w:rFonts w:hint="eastAsia" w:eastAsia="仿宋_GB2312"/>
                <w:b/>
                <w:kern w:val="0"/>
              </w:rPr>
              <w:t>节能减排</w:t>
            </w:r>
            <w:r>
              <w:rPr>
                <w:rFonts w:eastAsia="仿宋_GB2312"/>
                <w:b/>
                <w:kern w:val="0"/>
              </w:rPr>
              <w:t>（</w:t>
            </w:r>
            <w:r>
              <w:rPr>
                <w:rFonts w:hint="eastAsia" w:eastAsia="仿宋_GB2312"/>
                <w:b/>
                <w:kern w:val="0"/>
                <w:lang w:val="en-US" w:eastAsia="zh-CN"/>
              </w:rPr>
              <w:t>3</w:t>
            </w:r>
            <w:r>
              <w:rPr>
                <w:rFonts w:eastAsia="仿宋_GB2312"/>
                <w:b/>
                <w:kern w:val="0"/>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lang w:eastAsia="zh-CN"/>
              </w:rPr>
            </w:pPr>
            <w:r>
              <w:rPr>
                <w:rFonts w:hint="eastAsia" w:eastAsia="仿宋_GB2312"/>
                <w:kern w:val="0"/>
                <w:lang w:val="en-US" w:eastAsia="zh-CN"/>
              </w:rPr>
              <w:t>2</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bCs/>
                <w:kern w:val="0"/>
              </w:rPr>
            </w:pPr>
            <w:r>
              <w:rPr>
                <w:rFonts w:eastAsia="仿宋_GB2312"/>
                <w:bCs/>
                <w:kern w:val="0"/>
              </w:rPr>
              <w:t>步行、自行车交通系统</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制定步行、自行车交通体系专项规划，获得批准并已实施。</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r>
              <w:rPr>
                <w:rFonts w:eastAsia="仿宋_GB2312"/>
                <w:kern w:val="0"/>
              </w:rPr>
              <w:t>县交通运输局</w:t>
            </w:r>
          </w:p>
          <w:p>
            <w:pPr>
              <w:spacing w:line="300" w:lineRule="exact"/>
              <w:ind w:left="-105" w:leftChars="-50" w:right="-105" w:rightChars="-50"/>
              <w:jc w:val="center"/>
              <w:rPr>
                <w:rFonts w:eastAsia="仿宋_GB2312"/>
                <w:kern w:val="0"/>
              </w:rPr>
            </w:pPr>
            <w:r>
              <w:rPr>
                <w:rFonts w:eastAsia="仿宋_GB2312"/>
                <w:kern w:val="0"/>
              </w:rPr>
              <w:t>县住建局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仅考核城市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仿宋_GB2312"/>
                <w:kern w:val="0"/>
                <w:lang w:eastAsia="zh-CN"/>
              </w:rPr>
            </w:pPr>
            <w:r>
              <w:rPr>
                <w:rFonts w:hint="eastAsia" w:eastAsia="仿宋_GB2312"/>
                <w:kern w:val="0"/>
                <w:lang w:val="en-US" w:eastAsia="zh-CN"/>
              </w:rPr>
              <w:t>3</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绿色建筑和装配式建筑</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bCs/>
                <w:kern w:val="0"/>
              </w:rPr>
            </w:pPr>
            <w:r>
              <w:rPr>
                <w:rFonts w:eastAsia="仿宋_GB2312"/>
                <w:bCs/>
                <w:kern w:val="0"/>
              </w:rPr>
              <w:t>①近2年（含申报年）新建建筑中绿色建筑比例≥35%；</w:t>
            </w:r>
          </w:p>
          <w:p>
            <w:pPr>
              <w:spacing w:line="300" w:lineRule="exact"/>
              <w:rPr>
                <w:rFonts w:eastAsia="仿宋_GB2312"/>
                <w:kern w:val="0"/>
              </w:rPr>
            </w:pPr>
            <w:r>
              <w:rPr>
                <w:rFonts w:eastAsia="仿宋_GB2312"/>
                <w:bCs/>
                <w:kern w:val="0"/>
              </w:rPr>
              <w:t>②节能建筑比例</w:t>
            </w:r>
            <w:r>
              <w:rPr>
                <w:rFonts w:eastAsia="仿宋_GB2312"/>
                <w:kern w:val="0"/>
              </w:rPr>
              <w:t>≥50%；</w:t>
            </w:r>
          </w:p>
          <w:p>
            <w:pPr>
              <w:spacing w:line="300" w:lineRule="exact"/>
              <w:rPr>
                <w:rFonts w:eastAsia="仿宋_GB2312"/>
                <w:kern w:val="0"/>
              </w:rPr>
            </w:pPr>
            <w:r>
              <w:rPr>
                <w:rFonts w:eastAsia="仿宋_GB2312"/>
                <w:kern w:val="0"/>
              </w:rPr>
              <w:t>③制定推广绿色建材和装配式建筑政策措施。</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r>
              <w:rPr>
                <w:rFonts w:eastAsia="仿宋_GB2312"/>
                <w:kern w:val="0"/>
              </w:rPr>
              <w:t>县住建局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60" w:type="dxa"/>
            <w:vMerge w:val="restart"/>
            <w:tcBorders>
              <w:top w:val="single" w:color="auto" w:sz="4" w:space="0"/>
              <w:left w:val="single" w:color="auto" w:sz="4" w:space="0"/>
              <w:right w:val="single" w:color="auto" w:sz="4" w:space="0"/>
            </w:tcBorders>
            <w:noWrap w:val="0"/>
            <w:vAlign w:val="center"/>
          </w:tcPr>
          <w:p>
            <w:pPr>
              <w:spacing w:line="300" w:lineRule="exact"/>
              <w:rPr>
                <w:rFonts w:eastAsia="仿宋_GB2312"/>
                <w:b/>
                <w:kern w:val="0"/>
              </w:rPr>
            </w:pPr>
            <w:r>
              <w:rPr>
                <w:rFonts w:eastAsia="仿宋_GB2312"/>
                <w:b/>
                <w:kern w:val="0"/>
              </w:rPr>
              <w:t>七、社会保障（4）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r>
              <w:rPr>
                <w:rFonts w:eastAsia="仿宋_GB2312"/>
                <w:kern w:val="0"/>
              </w:rPr>
              <w:t>1</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住房保障建设</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00" w:lineRule="exact"/>
              <w:rPr>
                <w:rFonts w:eastAsia="仿宋_GB2312"/>
                <w:kern w:val="0"/>
              </w:rPr>
            </w:pPr>
            <w:r>
              <w:rPr>
                <w:rFonts w:eastAsia="仿宋_GB2312"/>
                <w:kern w:val="0"/>
              </w:rPr>
              <w:t>住房保障率≥80%；</w:t>
            </w:r>
          </w:p>
          <w:p>
            <w:pPr>
              <w:spacing w:line="300" w:lineRule="exact"/>
              <w:rPr>
                <w:rFonts w:eastAsia="仿宋_GB2312"/>
                <w:kern w:val="0"/>
              </w:rPr>
            </w:pPr>
            <w:r>
              <w:rPr>
                <w:rFonts w:eastAsia="仿宋_GB2312"/>
                <w:kern w:val="0"/>
              </w:rPr>
              <w:t>②保障性安居工程建设任务完成率≥100%。</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r>
              <w:rPr>
                <w:rFonts w:eastAsia="仿宋_GB2312"/>
                <w:kern w:val="0"/>
              </w:rPr>
              <w:t>县住建局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r>
              <w:rPr>
                <w:rFonts w:eastAsia="仿宋_GB2312"/>
                <w:kern w:val="0"/>
              </w:rPr>
              <w:t>2</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棚户区、城中村改造</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rPr>
              <w:t>①</w:t>
            </w:r>
            <w:r>
              <w:rPr>
                <w:rFonts w:eastAsia="仿宋_GB2312"/>
                <w:kern w:val="0"/>
              </w:rPr>
              <w:t>建成区内基本完成现有棚户区和危房改造，居民得到妥善安置，实施物业管理；</w:t>
            </w:r>
          </w:p>
          <w:p>
            <w:pPr>
              <w:numPr>
                <w:ilvl w:val="0"/>
                <w:numId w:val="2"/>
              </w:numPr>
              <w:spacing w:line="300" w:lineRule="exact"/>
              <w:rPr>
                <w:rFonts w:eastAsia="仿宋_GB2312"/>
                <w:kern w:val="0"/>
              </w:rPr>
            </w:pPr>
            <w:r>
              <w:rPr>
                <w:rFonts w:eastAsia="仿宋_GB2312"/>
                <w:kern w:val="0"/>
              </w:rPr>
              <w:t>制定城中村改造规划并按规划实施。</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rPr>
                <w:rFonts w:eastAsia="仿宋_GB2312"/>
                <w:kern w:val="0"/>
              </w:rPr>
            </w:pPr>
            <w:r>
              <w:rPr>
                <w:rFonts w:eastAsia="仿宋_GB2312"/>
                <w:kern w:val="0"/>
              </w:rPr>
              <w:t>县自然资源和规划局</w:t>
            </w:r>
          </w:p>
          <w:p>
            <w:pPr>
              <w:spacing w:line="300" w:lineRule="exact"/>
              <w:ind w:left="-105" w:leftChars="-50" w:right="-105" w:rightChars="-50"/>
              <w:rPr>
                <w:rFonts w:eastAsia="仿宋_GB2312"/>
                <w:kern w:val="0"/>
              </w:rPr>
            </w:pPr>
            <w:r>
              <w:rPr>
                <w:rFonts w:eastAsia="仿宋_GB2312"/>
                <w:kern w:val="0"/>
              </w:rPr>
              <w:t>县住建局</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60" w:type="dxa"/>
            <w:vMerge w:val="continue"/>
            <w:tcBorders>
              <w:left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r>
              <w:rPr>
                <w:rFonts w:eastAsia="仿宋_GB2312"/>
                <w:kern w:val="0"/>
              </w:rPr>
              <w:t>3</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社区配套设施建设</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社区教育、医疗、体育、文化、便民服务、公厕等各类设施配套齐全。</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r>
              <w:rPr>
                <w:rFonts w:eastAsia="仿宋_GB2312"/>
                <w:kern w:val="0"/>
              </w:rPr>
              <w:t>各乡镇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6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b/>
                <w:kern w:val="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rPr>
            </w:pPr>
            <w:r>
              <w:rPr>
                <w:rFonts w:eastAsia="仿宋_GB2312"/>
                <w:kern w:val="0"/>
              </w:rPr>
              <w:t>4</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无障碍设施建设</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r>
              <w:rPr>
                <w:rFonts w:eastAsia="仿宋_GB2312"/>
                <w:kern w:val="0"/>
              </w:rPr>
              <w:t>主要道路、公园、公共建筑等公共场所设有无障碍设施并满足相关规范，其使用及维护管理情况良好。</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r>
              <w:rPr>
                <w:rFonts w:eastAsia="仿宋_GB2312"/>
                <w:kern w:val="0"/>
              </w:rPr>
              <w:t>县残联</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b/>
                <w:kern w:val="0"/>
              </w:rPr>
            </w:pPr>
            <w:r>
              <w:rPr>
                <w:rFonts w:eastAsia="仿宋_GB2312"/>
                <w:b/>
                <w:kern w:val="0"/>
              </w:rPr>
              <w:t>综合</w:t>
            </w:r>
          </w:p>
          <w:p>
            <w:pPr>
              <w:spacing w:line="300" w:lineRule="exact"/>
              <w:jc w:val="center"/>
              <w:rPr>
                <w:rFonts w:eastAsia="仿宋_GB2312"/>
                <w:b/>
                <w:kern w:val="0"/>
              </w:rPr>
            </w:pPr>
            <w:r>
              <w:rPr>
                <w:rFonts w:eastAsia="仿宋_GB2312"/>
                <w:b/>
                <w:kern w:val="0"/>
              </w:rPr>
              <w:t>否定项</w:t>
            </w:r>
          </w:p>
        </w:tc>
        <w:tc>
          <w:tcPr>
            <w:tcW w:w="936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rPr>
            </w:pPr>
            <w:r>
              <w:rPr>
                <w:rFonts w:eastAsia="仿宋_GB2312"/>
                <w:kern w:val="0"/>
              </w:rPr>
              <w:t>对近2 年内发生以下情况的市（县），均实行一票否决：</w:t>
            </w:r>
          </w:p>
          <w:p>
            <w:pPr>
              <w:spacing w:line="300" w:lineRule="exact"/>
              <w:jc w:val="left"/>
              <w:rPr>
                <w:rFonts w:eastAsia="仿宋_GB2312"/>
                <w:kern w:val="0"/>
              </w:rPr>
            </w:pPr>
            <w:r>
              <w:rPr>
                <w:rFonts w:eastAsia="仿宋_GB2312"/>
                <w:kern w:val="0"/>
              </w:rPr>
              <w:t>①城市园林绿化及生态环境保护、市政设施安全运行等方面的重大事故；</w:t>
            </w:r>
          </w:p>
          <w:p>
            <w:pPr>
              <w:numPr>
                <w:ilvl w:val="0"/>
                <w:numId w:val="2"/>
              </w:numPr>
              <w:spacing w:line="300" w:lineRule="exact"/>
              <w:jc w:val="left"/>
              <w:rPr>
                <w:rFonts w:eastAsia="仿宋_GB2312"/>
                <w:kern w:val="0"/>
              </w:rPr>
            </w:pPr>
            <w:r>
              <w:rPr>
                <w:rFonts w:eastAsia="仿宋_GB2312"/>
                <w:kern w:val="0"/>
              </w:rPr>
              <w:t>城乡规划、风景名胜区等方面的重大违法建设事件；</w:t>
            </w:r>
          </w:p>
          <w:p>
            <w:pPr>
              <w:numPr>
                <w:ilvl w:val="0"/>
                <w:numId w:val="2"/>
              </w:numPr>
              <w:spacing w:line="300" w:lineRule="exact"/>
              <w:jc w:val="left"/>
              <w:rPr>
                <w:rFonts w:eastAsia="仿宋_GB2312"/>
                <w:kern w:val="0"/>
              </w:rPr>
            </w:pPr>
            <w:r>
              <w:rPr>
                <w:rFonts w:eastAsia="仿宋_GB2312"/>
                <w:kern w:val="0"/>
              </w:rPr>
              <w:t>被省住建厅通报批评；</w:t>
            </w:r>
          </w:p>
          <w:p>
            <w:pPr>
              <w:spacing w:line="300" w:lineRule="exact"/>
              <w:rPr>
                <w:rFonts w:eastAsia="仿宋_GB2312"/>
                <w:kern w:val="0"/>
              </w:rPr>
            </w:pPr>
            <w:r>
              <w:rPr>
                <w:rFonts w:eastAsia="仿宋_GB2312"/>
                <w:kern w:val="0"/>
              </w:rPr>
              <w:t>被媒体曝光，造成重大负面影响。</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eastAsia="仿宋_GB2312"/>
                <w:kern w:val="0"/>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rPr>
            </w:pPr>
          </w:p>
        </w:tc>
      </w:tr>
    </w:tbl>
    <w:p>
      <w:bookmarkStart w:id="0" w:name="_GoBack"/>
      <w:bookmarkEnd w:id="0"/>
    </w:p>
    <w:sectPr>
      <w:headerReference r:id="rId21" w:type="default"/>
      <w:footerReference r:id="rId22"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NUb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A1Ru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KvFq4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an2d1yFqSnGZ2+fjl9+3H6/pmRjxo0Rmwp7zFSZp5ewUTJsx/JWXRPJvnyJUWM&#10;4tTq47W9espMlUer5WrVUEhRbL4Qvnh6HhPm1xo8K0bHE82vtlUe3mI+p84ppVqAB+tcnaELvzkI&#10;s3hE4X7mWKw8baeLoC30R9Iz0ug7Hmg3OXNvAnW2bMlspNnYzsY+Jrsb6hqVehhf7jORqNxKhTPs&#10;pTDNrKq77FdZil/vNevpL9j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q8W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Fqx64BAABN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oWrH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IuDPaetAQAATQMA&#10;AA4AAAAAAAAAAQAgAAAAHgEAAGRycy9lMm9Eb2MueG1sUEsFBgAAAAAGAAYAWQEAAD0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4dq4BAABNAwAADgAAAGRycy9lMm9Eb2MueG1srVNNrhMxDN4jcYco&#10;e5p5XaAy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j4Ph2rgEAAE0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10" w:rightChars="100"/>
      <w:jc w:val="both"/>
      <w:rPr>
        <w:rFonts w:hint="eastAsia"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4C0E9F"/>
    <w:multiLevelType w:val="multilevel"/>
    <w:tmpl w:val="424C0E9F"/>
    <w:lvl w:ilvl="0" w:tentative="0">
      <w:start w:val="1"/>
      <w:numFmt w:val="decimalEnclosedCircle"/>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10414"/>
    <w:rsid w:val="38710414"/>
    <w:rsid w:val="637A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9.xml"/><Relationship Id="rId21" Type="http://schemas.openxmlformats.org/officeDocument/2006/relationships/header" Target="header1.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2020-06-22T06:45:00Z</dcterms:created>
  <dc:creator>°✿．Songle Travel 、</dc:creator>
  <cp:lastModifiedBy>°✿．Songle Travel 、</cp:lastModifiedBy>
  <dcterms:modified xsi:type="dcterms:W3CDTF">2020-06-22T06:46:47Z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