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县发展和改革局政府信息主动公开基本目录</w:t>
      </w:r>
    </w:p>
    <w:p>
      <w:pPr>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信息公开过程：决策、执行、管理、服务、结果</w:t>
      </w:r>
    </w:p>
    <w:p>
      <w:pPr>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信息公开格式：文本、图表、音频、视频</w:t>
      </w:r>
    </w:p>
    <w:p>
      <w:pPr>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信息公开渠道：政府网站、微博、微信、移动客户端、广播电视、报刊、信息公告栏、行政服务中心、便民服务中心、县图书馆、县档案馆、其他</w:t>
      </w:r>
    </w:p>
    <w:tbl>
      <w:tblPr>
        <w:tblStyle w:val="6"/>
        <w:tblW w:w="14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657"/>
        <w:gridCol w:w="1423"/>
        <w:gridCol w:w="900"/>
        <w:gridCol w:w="3550"/>
        <w:gridCol w:w="1720"/>
        <w:gridCol w:w="1160"/>
        <w:gridCol w:w="156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事项类别</w:t>
            </w:r>
          </w:p>
        </w:tc>
        <w:tc>
          <w:tcPr>
            <w:tcW w:w="1657"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事项名称</w:t>
            </w:r>
          </w:p>
        </w:tc>
        <w:tc>
          <w:tcPr>
            <w:tcW w:w="1423"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公开依据</w:t>
            </w:r>
          </w:p>
        </w:tc>
        <w:tc>
          <w:tcPr>
            <w:tcW w:w="900"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过程</w:t>
            </w:r>
          </w:p>
        </w:tc>
        <w:tc>
          <w:tcPr>
            <w:tcW w:w="3550"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内容要求</w:t>
            </w:r>
          </w:p>
        </w:tc>
        <w:tc>
          <w:tcPr>
            <w:tcW w:w="1720"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公开时限</w:t>
            </w:r>
          </w:p>
        </w:tc>
        <w:tc>
          <w:tcPr>
            <w:tcW w:w="1160"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公开格式</w:t>
            </w:r>
          </w:p>
        </w:tc>
        <w:tc>
          <w:tcPr>
            <w:tcW w:w="1567"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公开渠道</w:t>
            </w:r>
          </w:p>
        </w:tc>
        <w:tc>
          <w:tcPr>
            <w:tcW w:w="1258"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政府信息公开</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政府信息主动公开目录</w:t>
            </w:r>
          </w:p>
        </w:tc>
        <w:tc>
          <w:tcPr>
            <w:tcW w:w="1423"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本单位政府信息主动公开基本目录</w:t>
            </w:r>
          </w:p>
        </w:tc>
        <w:tc>
          <w:tcPr>
            <w:tcW w:w="172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自该信息产生或变更之日起20个工作日内</w:t>
            </w:r>
          </w:p>
        </w:tc>
        <w:tc>
          <w:tcPr>
            <w:tcW w:w="116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Merge w:val="restart"/>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w:t>
            </w:r>
          </w:p>
        </w:tc>
        <w:tc>
          <w:tcPr>
            <w:tcW w:w="1258" w:type="dxa"/>
            <w:vMerge w:val="restart"/>
            <w:vAlign w:val="center"/>
          </w:tcPr>
          <w:p>
            <w:pPr>
              <w:jc w:val="center"/>
              <w:rPr>
                <w:rFonts w:hint="default" w:ascii="Times New Roman" w:hAnsi="Times New Roman" w:eastAsia="仿宋_GB2312" w:cs="Times New Roman"/>
                <w:kern w:val="0"/>
                <w:sz w:val="18"/>
                <w:szCs w:val="18"/>
                <w:lang w:val="en-US" w:eastAsia="zh-CN"/>
              </w:rPr>
            </w:pPr>
            <w:r>
              <w:rPr>
                <w:rFonts w:hint="default" w:ascii="Times New Roman" w:hAnsi="Times New Roman" w:eastAsia="仿宋_GB2312" w:cs="Times New Roman"/>
                <w:kern w:val="0"/>
                <w:sz w:val="18"/>
                <w:szCs w:val="18"/>
              </w:rPr>
              <w:t>咨询电话：</w:t>
            </w:r>
            <w:r>
              <w:rPr>
                <w:rFonts w:hint="eastAsia" w:ascii="Times New Roman" w:hAnsi="Times New Roman" w:eastAsia="仿宋_GB2312" w:cs="Times New Roman"/>
                <w:kern w:val="0"/>
                <w:sz w:val="18"/>
                <w:szCs w:val="18"/>
                <w:lang w:val="en-US" w:eastAsia="zh-CN"/>
              </w:rPr>
              <w:t>5082134</w:t>
            </w:r>
          </w:p>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政府信息公开指南</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本单位政府信息公开指南</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Merge w:val="continue"/>
            <w:vAlign w:val="center"/>
          </w:tcPr>
          <w:p>
            <w:pPr>
              <w:jc w:val="center"/>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政府信息公开制度</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本单位政府信息公开工作制度</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Merge w:val="continue"/>
            <w:vAlign w:val="center"/>
          </w:tcPr>
          <w:p>
            <w:pPr>
              <w:jc w:val="center"/>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政府信息公开年报</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结果</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本单位政府信息公开工作年度报告</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每年1月31日前</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文本、图表</w:t>
            </w:r>
          </w:p>
        </w:tc>
        <w:tc>
          <w:tcPr>
            <w:tcW w:w="1567" w:type="dxa"/>
            <w:vMerge w:val="continue"/>
            <w:vAlign w:val="center"/>
          </w:tcPr>
          <w:p>
            <w:pPr>
              <w:jc w:val="center"/>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机构信息</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工作职责</w:t>
            </w:r>
          </w:p>
        </w:tc>
        <w:tc>
          <w:tcPr>
            <w:tcW w:w="1423" w:type="dxa"/>
            <w:vMerge w:val="restart"/>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《中华人民共和国政府信息公开条例》、三定方案</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管理</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局工作职责、办公地址、办公时间、联系电话、传真、邮政编码</w:t>
            </w:r>
          </w:p>
        </w:tc>
        <w:tc>
          <w:tcPr>
            <w:tcW w:w="172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自该信息产生或变更之日起20个工作日内</w:t>
            </w:r>
          </w:p>
        </w:tc>
        <w:tc>
          <w:tcPr>
            <w:tcW w:w="116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Merge w:val="restart"/>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w:t>
            </w: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领导信息</w:t>
            </w:r>
          </w:p>
        </w:tc>
        <w:tc>
          <w:tcPr>
            <w:tcW w:w="1423" w:type="dxa"/>
            <w:vMerge w:val="continue"/>
            <w:vAlign w:val="center"/>
          </w:tcPr>
          <w:p>
            <w:pPr>
              <w:jc w:val="left"/>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管理</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局领导姓名、职务、工作分工</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Merge w:val="continue"/>
            <w:vAlign w:val="center"/>
          </w:tcPr>
          <w:p>
            <w:pPr>
              <w:jc w:val="left"/>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机构设置</w:t>
            </w:r>
          </w:p>
        </w:tc>
        <w:tc>
          <w:tcPr>
            <w:tcW w:w="1423" w:type="dxa"/>
            <w:vMerge w:val="continue"/>
            <w:vAlign w:val="center"/>
          </w:tcPr>
          <w:p>
            <w:pPr>
              <w:jc w:val="left"/>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管理</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局内设机构、派出机构、直属单位的工作职能、联系方式</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Merge w:val="continue"/>
            <w:vAlign w:val="center"/>
          </w:tcPr>
          <w:p>
            <w:pPr>
              <w:jc w:val="left"/>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工作制度</w:t>
            </w:r>
          </w:p>
        </w:tc>
        <w:tc>
          <w:tcPr>
            <w:tcW w:w="1423" w:type="dxa"/>
            <w:vMerge w:val="continue"/>
            <w:vAlign w:val="center"/>
          </w:tcPr>
          <w:p>
            <w:pPr>
              <w:jc w:val="left"/>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管理</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局工作制度</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Merge w:val="continue"/>
            <w:vAlign w:val="center"/>
          </w:tcPr>
          <w:p>
            <w:pPr>
              <w:jc w:val="left"/>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重大决策预公开 </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意见征集 </w:t>
            </w:r>
          </w:p>
        </w:tc>
        <w:tc>
          <w:tcPr>
            <w:tcW w:w="1423"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决策 </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公开征求意见内容 </w:t>
            </w:r>
          </w:p>
        </w:tc>
        <w:tc>
          <w:tcPr>
            <w:tcW w:w="172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自该政府信息形成或者变更之日起20个工作日内</w:t>
            </w:r>
          </w:p>
        </w:tc>
        <w:tc>
          <w:tcPr>
            <w:tcW w:w="116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文本</w:t>
            </w:r>
          </w:p>
        </w:tc>
        <w:tc>
          <w:tcPr>
            <w:tcW w:w="156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w:t>
            </w: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反馈及采纳情况 </w:t>
            </w:r>
          </w:p>
        </w:tc>
        <w:tc>
          <w:tcPr>
            <w:tcW w:w="1423"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决策 </w:t>
            </w:r>
          </w:p>
        </w:tc>
        <w:tc>
          <w:tcPr>
            <w:tcW w:w="355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意见反馈以及采纳情况 </w:t>
            </w:r>
          </w:p>
        </w:tc>
        <w:tc>
          <w:tcPr>
            <w:tcW w:w="1720"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自该政府信息形成或者变更之日起20个工作日内</w:t>
            </w:r>
          </w:p>
        </w:tc>
        <w:tc>
          <w:tcPr>
            <w:tcW w:w="1160"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文本</w:t>
            </w:r>
          </w:p>
        </w:tc>
        <w:tc>
          <w:tcPr>
            <w:tcW w:w="156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w:t>
            </w: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政策文件</w:t>
            </w: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行政规范性文件</w:t>
            </w:r>
          </w:p>
        </w:tc>
        <w:tc>
          <w:tcPr>
            <w:tcW w:w="1423" w:type="dxa"/>
            <w:vMerge w:val="restart"/>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《中华人民共和国政府信息公开条例》、《浙江省行政机关政策解读工作实施办法》</w:t>
            </w: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本单位制发的行政规范性文件</w:t>
            </w:r>
          </w:p>
        </w:tc>
        <w:tc>
          <w:tcPr>
            <w:tcW w:w="1720" w:type="dxa"/>
            <w:vMerge w:val="restart"/>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自该信息产生或变更之日起20个工作日内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Merge w:val="restart"/>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w:t>
            </w: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政策解读</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执行</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本单位制发的行政规范性文件及重要政策文件解读</w:t>
            </w:r>
          </w:p>
        </w:tc>
        <w:tc>
          <w:tcPr>
            <w:tcW w:w="172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其他政策文件</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本单位制发的其他政策文件</w:t>
            </w:r>
          </w:p>
        </w:tc>
        <w:tc>
          <w:tcPr>
            <w:tcW w:w="172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规划计划</w:t>
            </w: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总体规划</w:t>
            </w:r>
          </w:p>
        </w:tc>
        <w:tc>
          <w:tcPr>
            <w:tcW w:w="1423" w:type="dxa"/>
            <w:vMerge w:val="restart"/>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全县国民经济发展总体规划</w:t>
            </w:r>
          </w:p>
        </w:tc>
        <w:tc>
          <w:tcPr>
            <w:tcW w:w="1720" w:type="dxa"/>
            <w:vMerge w:val="restart"/>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自该信息产生或变更之日起20个工作日内</w:t>
            </w:r>
          </w:p>
        </w:tc>
        <w:tc>
          <w:tcPr>
            <w:tcW w:w="1160" w:type="dxa"/>
            <w:vMerge w:val="restart"/>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Merge w:val="restart"/>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1"/>
                <w:szCs w:val="21"/>
              </w:rPr>
              <w:t>政府网站</w:t>
            </w:r>
          </w:p>
        </w:tc>
        <w:tc>
          <w:tcPr>
            <w:tcW w:w="1258" w:type="dxa"/>
            <w:vMerge w:val="continue"/>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专项规划</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行业专项发展规划</w:t>
            </w:r>
          </w:p>
        </w:tc>
        <w:tc>
          <w:tcPr>
            <w:tcW w:w="172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16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567"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20"/>
                <w:szCs w:val="21"/>
              </w:rPr>
            </w:pPr>
          </w:p>
        </w:tc>
        <w:tc>
          <w:tcPr>
            <w:tcW w:w="1258" w:type="dxa"/>
            <w:vMerge w:val="continue"/>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计划总结</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结果</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本单位年度、半年度工作总结和工作计划</w:t>
            </w:r>
          </w:p>
        </w:tc>
        <w:tc>
          <w:tcPr>
            <w:tcW w:w="172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16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567"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20"/>
                <w:szCs w:val="21"/>
              </w:rPr>
            </w:pPr>
          </w:p>
        </w:tc>
        <w:tc>
          <w:tcPr>
            <w:tcW w:w="1258" w:type="dxa"/>
            <w:vMerge w:val="continue"/>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国民经济和社会发展五年规划纲要 </w:t>
            </w:r>
          </w:p>
        </w:tc>
        <w:tc>
          <w:tcPr>
            <w:tcW w:w="1423" w:type="dxa"/>
            <w:vMerge w:val="restart"/>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keepNext w:val="0"/>
              <w:keepLines w:val="0"/>
              <w:pageBreakBefore w:val="0"/>
              <w:widowControl w:val="0"/>
              <w:kinsoku/>
              <w:wordWrap/>
              <w:overflowPunct/>
              <w:topLinePunct w:val="0"/>
              <w:bidi w:val="0"/>
              <w:snapToGrid/>
              <w:spacing w:line="280" w:lineRule="exact"/>
              <w:textAlignment w:val="auto"/>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国民经济和社会发展年度计划 </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计划报告内容 </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相关区域发展规划 </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新型城镇化规划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规划计划</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创新创业、高技术产业发展规划 </w:t>
            </w:r>
          </w:p>
        </w:tc>
        <w:tc>
          <w:tcPr>
            <w:tcW w:w="1423"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绿色发展相关规划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能源资源节约和综合利用、循环经济发展规划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社会发展相关规划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服务业发展规划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规划计划</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物流发展规划 </w:t>
            </w:r>
          </w:p>
        </w:tc>
        <w:tc>
          <w:tcPr>
            <w:tcW w:w="1423"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社会信用体系建设规划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能源领域相关规划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其他应当主动公开的规划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决策</w:t>
            </w:r>
          </w:p>
        </w:tc>
        <w:tc>
          <w:tcPr>
            <w:tcW w:w="3550"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规划内容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行政许可事项</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投资项目节能审查 </w:t>
            </w:r>
          </w:p>
        </w:tc>
        <w:tc>
          <w:tcPr>
            <w:tcW w:w="1423"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《法治政府建设实施纲要（2015—2020年）》 </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行政许可的项目名称、类别、设定依据、对象、核准批复内容等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企业投资项目核准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行政许可的项目名称、类别、设定依据、对象、核准批复内容等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油气管道保护专项验收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行政许可的项目名称、类别、设定依据、对象、核准批复内容等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油气管道重新启用备案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行政许可的项目名称、类别、设定依据、对象、核准批复内容等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油气管道保护作业许可（审批）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行政许可的项目名称、类别、设定依据、对象、核准批复内容等 </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公路、航道、港口、水利、民航、铁路等企业投资项目初步设计审批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行政许可的项目名称、类别、设定依据、对象、核准批复内容等 </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行政处罚事项</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节能行政处罚 </w:t>
            </w:r>
          </w:p>
        </w:tc>
        <w:tc>
          <w:tcPr>
            <w:tcW w:w="1423"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《中华人民共和国政府信息公开条例》 </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行政处罚的依据、条件、程序以及我局认为具有一定社会影响的行政处罚决定等 </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经营者拒绝提供定价成本监审所需资料或者提供虚假资料行为的处罚 </w:t>
            </w:r>
          </w:p>
        </w:tc>
        <w:tc>
          <w:tcPr>
            <w:tcW w:w="1423"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《中华人民共和国政府信息公开条例》 </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行政处罚的依据、条件、程序以及我局认为具有一定社会影响的行政处罚决定等 </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其他行政权力事项</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政府投资项目建议书审批 </w:t>
            </w:r>
          </w:p>
        </w:tc>
        <w:tc>
          <w:tcPr>
            <w:tcW w:w="1423"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《法治政府建设实施纲要（2015—2020年）》</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其他行政权力事项的相关信息 </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油气管道保护备案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其他行政权力事项的相关信息 </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政府投资项目竣工验收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其他行政权力事项的相关信息 </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政府投资项目可行性研究报告审批 </w:t>
            </w:r>
          </w:p>
        </w:tc>
        <w:tc>
          <w:tcPr>
            <w:tcW w:w="1423" w:type="dxa"/>
            <w:vMerge w:val="continue"/>
            <w:vAlign w:val="center"/>
          </w:tcPr>
          <w:p>
            <w:pPr>
              <w:jc w:val="center"/>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其他行政权力事项的相关信息 </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企业投资项目备案 </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其他行政权力事项的相关信息 </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政府投资项目初步设计审批</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其他行政权力事项的相关信息 </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pStyle w:val="10"/>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2"/>
                <w:sz w:val="18"/>
                <w:szCs w:val="18"/>
              </w:rPr>
              <w:t xml:space="preserve">节能监察 </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其他行政权力事项的相关信息 </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公共服务事项 </w:t>
            </w: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法人和其他组织信用信息查询 </w:t>
            </w:r>
          </w:p>
        </w:tc>
        <w:tc>
          <w:tcPr>
            <w:tcW w:w="1423"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《法治政府建设实施纲要（2015—2020年）》</w:t>
            </w: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公共服务事项的项目名称、类别、依据、对象等内容 </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02"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办事指南 </w:t>
            </w: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行政许可事项等权责事项办事指南 </w:t>
            </w:r>
          </w:p>
        </w:tc>
        <w:tc>
          <w:tcPr>
            <w:tcW w:w="1423"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《中华人民共和国政府信息公开条例》 </w:t>
            </w: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服务</w:t>
            </w:r>
          </w:p>
        </w:tc>
        <w:tc>
          <w:tcPr>
            <w:tcW w:w="355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事项名称、事项类别、适用范围、审批依据、申请材料目录、办理方式、办理时限、办理进程查询、窗口电话、办公地址和时间等 </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自该政府信息形成或者变更之日起20个工作日内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视频</w:t>
            </w:r>
          </w:p>
        </w:tc>
        <w:tc>
          <w:tcPr>
            <w:tcW w:w="1567" w:type="dxa"/>
            <w:vAlign w:val="center"/>
          </w:tcPr>
          <w:p>
            <w:pPr>
              <w:keepNext w:val="0"/>
              <w:keepLines w:val="0"/>
              <w:pageBreakBefore w:val="0"/>
              <w:widowControl w:val="0"/>
              <w:kinsoku/>
              <w:wordWrap/>
              <w:overflowPunct/>
              <w:topLinePunct w:val="0"/>
              <w:bidi w:val="0"/>
              <w:snapToGrid/>
              <w:spacing w:line="280" w:lineRule="exac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政府网站、政务新媒体、信息公告栏</w:t>
            </w:r>
          </w:p>
        </w:tc>
        <w:tc>
          <w:tcPr>
            <w:tcW w:w="1258" w:type="dxa"/>
            <w:vAlign w:val="center"/>
          </w:tcPr>
          <w:p>
            <w:pPr>
              <w:jc w:val="center"/>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02" w:type="dxa"/>
            <w:vAlign w:val="center"/>
          </w:tcPr>
          <w:p>
            <w:pPr>
              <w:jc w:val="center"/>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人事信息</w:t>
            </w: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部门人事</w:t>
            </w:r>
          </w:p>
        </w:tc>
        <w:tc>
          <w:tcPr>
            <w:tcW w:w="1423"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管理</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本单位干部人事任免</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自该信息产生或变更之日起20个工作日内</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文本</w:t>
            </w:r>
          </w:p>
        </w:tc>
        <w:tc>
          <w:tcPr>
            <w:tcW w:w="1567"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20"/>
                <w:szCs w:val="21"/>
                <w:lang w:val="en-US" w:eastAsia="zh-CN" w:bidi="ar-SA"/>
              </w:rPr>
            </w:pPr>
            <w:r>
              <w:rPr>
                <w:rFonts w:hint="default" w:ascii="Times New Roman" w:hAnsi="Times New Roman" w:eastAsia="仿宋_GB2312" w:cs="Times New Roman"/>
                <w:kern w:val="0"/>
                <w:sz w:val="21"/>
                <w:szCs w:val="21"/>
              </w:rPr>
              <w:t>政府网站</w:t>
            </w:r>
          </w:p>
        </w:tc>
        <w:tc>
          <w:tcPr>
            <w:tcW w:w="1258" w:type="dxa"/>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财政信息</w:t>
            </w: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部门年度预算</w:t>
            </w:r>
          </w:p>
        </w:tc>
        <w:tc>
          <w:tcPr>
            <w:tcW w:w="1423" w:type="dxa"/>
            <w:vMerge w:val="restart"/>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执行</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部门年度财政预算</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每年3月1日前</w:t>
            </w:r>
          </w:p>
        </w:tc>
        <w:tc>
          <w:tcPr>
            <w:tcW w:w="1160" w:type="dxa"/>
            <w:vMerge w:val="restart"/>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Merge w:val="restart"/>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w:t>
            </w:r>
          </w:p>
        </w:tc>
        <w:tc>
          <w:tcPr>
            <w:tcW w:w="1258" w:type="dxa"/>
            <w:vMerge w:val="restart"/>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部门年度决算</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结果</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部门年度财政决算报告</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每年9月15日前</w:t>
            </w:r>
          </w:p>
        </w:tc>
        <w:tc>
          <w:tcPr>
            <w:tcW w:w="116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567"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行政事业性收费</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执行</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本单位行政事业性收费目录和批复</w:t>
            </w:r>
          </w:p>
        </w:tc>
        <w:tc>
          <w:tcPr>
            <w:tcW w:w="1720" w:type="dxa"/>
            <w:vMerge w:val="restart"/>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自该信息产生或变更之日起20个工作日内</w:t>
            </w:r>
          </w:p>
        </w:tc>
        <w:tc>
          <w:tcPr>
            <w:tcW w:w="116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567"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财政专项资金</w:t>
            </w:r>
          </w:p>
        </w:tc>
        <w:tc>
          <w:tcPr>
            <w:tcW w:w="1423"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执行</w:t>
            </w:r>
          </w:p>
        </w:tc>
        <w:tc>
          <w:tcPr>
            <w:tcW w:w="3550" w:type="dxa"/>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财政专项资金管理和使用情况</w:t>
            </w:r>
          </w:p>
        </w:tc>
        <w:tc>
          <w:tcPr>
            <w:tcW w:w="172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160" w:type="dxa"/>
            <w:vMerge w:val="continue"/>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p>
        </w:tc>
        <w:tc>
          <w:tcPr>
            <w:tcW w:w="1567" w:type="dxa"/>
            <w:vMerge w:val="continue"/>
            <w:vAlign w:val="center"/>
          </w:tcPr>
          <w:p>
            <w:pPr>
              <w:keepNext w:val="0"/>
              <w:keepLines w:val="0"/>
              <w:pageBreakBefore w:val="0"/>
              <w:widowControl w:val="0"/>
              <w:kinsoku/>
              <w:wordWrap/>
              <w:overflowPunct/>
              <w:topLinePunct w:val="0"/>
              <w:bidi w:val="0"/>
              <w:snapToGrid/>
              <w:spacing w:line="280" w:lineRule="exact"/>
              <w:jc w:val="left"/>
              <w:textAlignment w:val="auto"/>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政府采购</w:t>
            </w:r>
          </w:p>
        </w:tc>
        <w:tc>
          <w:tcPr>
            <w:tcW w:w="165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政府集中采购</w:t>
            </w:r>
          </w:p>
        </w:tc>
        <w:tc>
          <w:tcPr>
            <w:tcW w:w="1423"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管理</w:t>
            </w:r>
          </w:p>
        </w:tc>
        <w:tc>
          <w:tcPr>
            <w:tcW w:w="355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政府集中采购</w:t>
            </w:r>
            <w:bookmarkStart w:id="0" w:name="_GoBack"/>
            <w:bookmarkEnd w:id="0"/>
            <w:r>
              <w:rPr>
                <w:rFonts w:hint="default" w:ascii="Times New Roman" w:hAnsi="Times New Roman" w:eastAsia="仿宋_GB2312" w:cs="Times New Roman"/>
                <w:kern w:val="0"/>
                <w:sz w:val="18"/>
                <w:szCs w:val="18"/>
              </w:rPr>
              <w:t xml:space="preserve">的实施情况，总额及货物、服务、工程等项目的具体金额 </w:t>
            </w:r>
          </w:p>
        </w:tc>
        <w:tc>
          <w:tcPr>
            <w:tcW w:w="172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重大建设项目</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批准服务信息</w:t>
            </w:r>
          </w:p>
        </w:tc>
        <w:tc>
          <w:tcPr>
            <w:tcW w:w="1423" w:type="dxa"/>
            <w:vMerge w:val="restart"/>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"http://www.zj.gov.cn/art/2020/5/20/art_1229020399_43225875.html" \t "http://www.zj.gov.cn/col/col1229020399/_blank"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kern w:val="0"/>
                <w:sz w:val="18"/>
                <w:szCs w:val="18"/>
              </w:rPr>
              <w:t>国务院办公厅关于推进重大建设项目批准和实施领域政府信息公开的意见</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》、国家发展改革委办公厅关于印发《重大建设项目领域基层政务公开标准指引》的通知</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管理</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申报要求、申报材料清单、批准流程、办理时限、受理机构联系方式、监督举报方式</w:t>
            </w:r>
          </w:p>
        </w:tc>
        <w:tc>
          <w:tcPr>
            <w:tcW w:w="172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自该信息产生或变更之日起20个工作日内</w:t>
            </w:r>
          </w:p>
        </w:tc>
        <w:tc>
          <w:tcPr>
            <w:tcW w:w="116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Merge w:val="restart"/>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政府网站、行政服务中心</w:t>
            </w: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批准结果信息</w:t>
            </w:r>
          </w:p>
        </w:tc>
        <w:tc>
          <w:tcPr>
            <w:tcW w:w="1423" w:type="dxa"/>
            <w:vMerge w:val="continue"/>
            <w:vAlign w:val="center"/>
          </w:tcPr>
          <w:p>
            <w:pPr>
              <w:jc w:val="left"/>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结果</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项目建议书审批结果、可行性研究报告审批结果、初步设计文件审批结果、项目核准结果、节能审查意见、建设项目选址意见审批结果、建设项目用地（用海）预审结果、环境影响评价审批文件、建设用地规划许可审批结果、建设工程规划类许可审批结果、施工许可（开工报告）审批结果、招标事项审批核准结果，取水许可、水土保持方案、洪水影响评价等涉水事项审批结果等</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Merge w:val="continue"/>
            <w:vAlign w:val="center"/>
          </w:tcPr>
          <w:p>
            <w:pPr>
              <w:jc w:val="left"/>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重大设计变更信息</w:t>
            </w:r>
          </w:p>
        </w:tc>
        <w:tc>
          <w:tcPr>
            <w:tcW w:w="1423" w:type="dxa"/>
            <w:vMerge w:val="continue"/>
            <w:vAlign w:val="center"/>
          </w:tcPr>
          <w:p>
            <w:pPr>
              <w:jc w:val="left"/>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执行</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项目设计变更原因、主要变更内容、变更依据、批准单位、变更结果等</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Merge w:val="continue"/>
            <w:vAlign w:val="center"/>
          </w:tcPr>
          <w:p>
            <w:pPr>
              <w:jc w:val="left"/>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竣工信息</w:t>
            </w:r>
          </w:p>
        </w:tc>
        <w:tc>
          <w:tcPr>
            <w:tcW w:w="1423" w:type="dxa"/>
            <w:vMerge w:val="continue"/>
            <w:vAlign w:val="center"/>
          </w:tcPr>
          <w:p>
            <w:pPr>
              <w:jc w:val="left"/>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结果</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spacing w:val="-6"/>
                <w:kern w:val="0"/>
                <w:sz w:val="18"/>
                <w:szCs w:val="18"/>
              </w:rPr>
              <w:t>竣工验收时间、工程质量验收结果，竣工验收备案时间、备案编号、备案部门、交付使用时间，竣工决算审计单位、财务决算金额等</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Merge w:val="continue"/>
            <w:vAlign w:val="center"/>
          </w:tcPr>
          <w:p>
            <w:pPr>
              <w:jc w:val="left"/>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价格管理</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价格监测</w:t>
            </w:r>
          </w:p>
        </w:tc>
        <w:tc>
          <w:tcPr>
            <w:tcW w:w="1423" w:type="dxa"/>
            <w:vMerge w:val="restart"/>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执行</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价格监测信息</w:t>
            </w:r>
          </w:p>
        </w:tc>
        <w:tc>
          <w:tcPr>
            <w:tcW w:w="172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自该信息产生或变更之日起20个工作日内</w:t>
            </w:r>
          </w:p>
        </w:tc>
        <w:tc>
          <w:tcPr>
            <w:tcW w:w="116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w:t>
            </w:r>
          </w:p>
        </w:tc>
        <w:tc>
          <w:tcPr>
            <w:tcW w:w="1258"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咨询电话：</w:t>
            </w:r>
          </w:p>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价格批复</w:t>
            </w:r>
          </w:p>
        </w:tc>
        <w:tc>
          <w:tcPr>
            <w:tcW w:w="1423" w:type="dxa"/>
            <w:vMerge w:val="continue"/>
            <w:vAlign w:val="center"/>
          </w:tcPr>
          <w:p>
            <w:pPr>
              <w:jc w:val="left"/>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结果</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价格批复信息</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w:t>
            </w: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其他专项信息</w:t>
            </w: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人大建议办理答复</w:t>
            </w:r>
          </w:p>
        </w:tc>
        <w:tc>
          <w:tcPr>
            <w:tcW w:w="1423" w:type="dxa"/>
            <w:vMerge w:val="restart"/>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《中华人民共和国政府信息公开条例》</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结果</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本单位办理的人大代表建议办理答复</w:t>
            </w:r>
          </w:p>
        </w:tc>
        <w:tc>
          <w:tcPr>
            <w:tcW w:w="172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自该信息产生或变更之日起20个工作日内</w:t>
            </w:r>
          </w:p>
        </w:tc>
        <w:tc>
          <w:tcPr>
            <w:tcW w:w="1160" w:type="dxa"/>
            <w:vMerge w:val="restart"/>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w:t>
            </w:r>
          </w:p>
        </w:tc>
        <w:tc>
          <w:tcPr>
            <w:tcW w:w="1567" w:type="dxa"/>
            <w:vMerge w:val="restart"/>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w:t>
            </w: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政协提案办理答复</w:t>
            </w:r>
          </w:p>
        </w:tc>
        <w:tc>
          <w:tcPr>
            <w:tcW w:w="1423" w:type="dxa"/>
            <w:vMerge w:val="continue"/>
            <w:vAlign w:val="center"/>
          </w:tcPr>
          <w:p>
            <w:pPr>
              <w:jc w:val="left"/>
              <w:rPr>
                <w:rFonts w:hint="default" w:ascii="Times New Roman" w:hAnsi="Times New Roman" w:eastAsia="仿宋_GB2312" w:cs="Times New Roman"/>
                <w:kern w:val="0"/>
                <w:sz w:val="18"/>
                <w:szCs w:val="18"/>
              </w:rPr>
            </w:pP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结果</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本单位办理的政协提案办理答复</w:t>
            </w:r>
          </w:p>
        </w:tc>
        <w:tc>
          <w:tcPr>
            <w:tcW w:w="1720" w:type="dxa"/>
            <w:vMerge w:val="continue"/>
            <w:vAlign w:val="center"/>
          </w:tcPr>
          <w:p>
            <w:pPr>
              <w:jc w:val="center"/>
              <w:rPr>
                <w:rFonts w:hint="default" w:ascii="Times New Roman" w:hAnsi="Times New Roman" w:eastAsia="仿宋_GB2312" w:cs="Times New Roman"/>
                <w:kern w:val="0"/>
                <w:sz w:val="18"/>
                <w:szCs w:val="18"/>
              </w:rPr>
            </w:pPr>
          </w:p>
        </w:tc>
        <w:tc>
          <w:tcPr>
            <w:tcW w:w="1160" w:type="dxa"/>
            <w:vMerge w:val="continue"/>
            <w:vAlign w:val="center"/>
          </w:tcPr>
          <w:p>
            <w:pPr>
              <w:jc w:val="center"/>
              <w:rPr>
                <w:rFonts w:hint="default" w:ascii="Times New Roman" w:hAnsi="Times New Roman" w:eastAsia="仿宋_GB2312" w:cs="Times New Roman"/>
                <w:kern w:val="0"/>
                <w:sz w:val="18"/>
                <w:szCs w:val="18"/>
              </w:rPr>
            </w:pPr>
          </w:p>
        </w:tc>
        <w:tc>
          <w:tcPr>
            <w:tcW w:w="1567" w:type="dxa"/>
            <w:vMerge w:val="continue"/>
            <w:vAlign w:val="center"/>
          </w:tcPr>
          <w:p>
            <w:pPr>
              <w:jc w:val="left"/>
              <w:rPr>
                <w:rFonts w:hint="default" w:ascii="Times New Roman" w:hAnsi="Times New Roman" w:eastAsia="仿宋_GB2312" w:cs="Times New Roman"/>
                <w:kern w:val="0"/>
                <w:sz w:val="18"/>
                <w:szCs w:val="18"/>
              </w:rPr>
            </w:pPr>
          </w:p>
        </w:tc>
        <w:tc>
          <w:tcPr>
            <w:tcW w:w="1258" w:type="dxa"/>
            <w:vMerge w:val="continue"/>
            <w:vAlign w:val="center"/>
          </w:tcPr>
          <w:p>
            <w:pPr>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default" w:ascii="Times New Roman" w:hAnsi="Times New Roman" w:eastAsia="仿宋_GB2312" w:cs="Times New Roman"/>
                <w:kern w:val="0"/>
                <w:sz w:val="18"/>
                <w:szCs w:val="18"/>
              </w:rPr>
            </w:pPr>
          </w:p>
        </w:tc>
        <w:tc>
          <w:tcPr>
            <w:tcW w:w="165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法治政府建设年度报告 </w:t>
            </w:r>
          </w:p>
        </w:tc>
        <w:tc>
          <w:tcPr>
            <w:tcW w:w="1423"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《中华人民共和国政府信息公开条例》 </w:t>
            </w:r>
          </w:p>
        </w:tc>
        <w:tc>
          <w:tcPr>
            <w:tcW w:w="90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服务 </w:t>
            </w:r>
          </w:p>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结果 </w:t>
            </w:r>
          </w:p>
        </w:tc>
        <w:tc>
          <w:tcPr>
            <w:tcW w:w="3550" w:type="dxa"/>
            <w:vAlign w:val="center"/>
          </w:tcPr>
          <w:p>
            <w:pPr>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本单位上一年度推进法治政府建设情况和下一年度主要安排 </w:t>
            </w:r>
          </w:p>
        </w:tc>
        <w:tc>
          <w:tcPr>
            <w:tcW w:w="172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自该政府信息形成或者变更之日起20个工作日内 </w:t>
            </w:r>
          </w:p>
        </w:tc>
        <w:tc>
          <w:tcPr>
            <w:tcW w:w="1160"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文本 图表</w:t>
            </w:r>
          </w:p>
        </w:tc>
        <w:tc>
          <w:tcPr>
            <w:tcW w:w="1567" w:type="dxa"/>
            <w:vAlign w:val="center"/>
          </w:tcPr>
          <w:p>
            <w:pPr>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政府网站、信息公告栏</w:t>
            </w:r>
          </w:p>
        </w:tc>
        <w:tc>
          <w:tcPr>
            <w:tcW w:w="1258" w:type="dxa"/>
            <w:vAlign w:val="center"/>
          </w:tcPr>
          <w:p>
            <w:pPr>
              <w:jc w:val="center"/>
              <w:rPr>
                <w:rFonts w:hint="default" w:ascii="Times New Roman" w:hAnsi="Times New Roman" w:eastAsia="仿宋_GB2312" w:cs="Times New Roman"/>
                <w:kern w:val="0"/>
                <w:sz w:val="18"/>
                <w:szCs w:val="18"/>
              </w:rPr>
            </w:pPr>
          </w:p>
        </w:tc>
      </w:tr>
    </w:tbl>
    <w:p>
      <w:pPr>
        <w:rPr>
          <w:sz w:val="32"/>
        </w:rPr>
      </w:pPr>
    </w:p>
    <w:sectPr>
      <w:pgSz w:w="16838" w:h="11906" w:orient="landscape"/>
      <w:pgMar w:top="1531" w:right="2041" w:bottom="1531"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mNmQxYjI0NDVjYzVmZWY4ZDlkMmY3MDg0OTRkYzUifQ=="/>
  </w:docVars>
  <w:rsids>
    <w:rsidRoot w:val="00873E09"/>
    <w:rsid w:val="0004710A"/>
    <w:rsid w:val="0006769F"/>
    <w:rsid w:val="00074810"/>
    <w:rsid w:val="001A4A12"/>
    <w:rsid w:val="002B1940"/>
    <w:rsid w:val="003876FC"/>
    <w:rsid w:val="00430C72"/>
    <w:rsid w:val="004E5407"/>
    <w:rsid w:val="00586441"/>
    <w:rsid w:val="00605664"/>
    <w:rsid w:val="00674819"/>
    <w:rsid w:val="006D23AB"/>
    <w:rsid w:val="006F6161"/>
    <w:rsid w:val="007838D3"/>
    <w:rsid w:val="00851205"/>
    <w:rsid w:val="00873E09"/>
    <w:rsid w:val="00880539"/>
    <w:rsid w:val="00A13208"/>
    <w:rsid w:val="00AE3730"/>
    <w:rsid w:val="00B12741"/>
    <w:rsid w:val="00B97327"/>
    <w:rsid w:val="00C015DF"/>
    <w:rsid w:val="00C10AD8"/>
    <w:rsid w:val="00C32314"/>
    <w:rsid w:val="00C66B54"/>
    <w:rsid w:val="00C95BD0"/>
    <w:rsid w:val="00CB361E"/>
    <w:rsid w:val="00D25B85"/>
    <w:rsid w:val="00D277D1"/>
    <w:rsid w:val="00D64BB2"/>
    <w:rsid w:val="00E65DD3"/>
    <w:rsid w:val="00ED5734"/>
    <w:rsid w:val="00FC62B0"/>
    <w:rsid w:val="095958DD"/>
    <w:rsid w:val="0C9456C1"/>
    <w:rsid w:val="0F8A1986"/>
    <w:rsid w:val="1BCC4DBA"/>
    <w:rsid w:val="731F2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738B-4A2D-4D9E-B206-4B812092A4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3870</Words>
  <Characters>3953</Characters>
  <Lines>42</Lines>
  <Paragraphs>12</Paragraphs>
  <TotalTime>5</TotalTime>
  <ScaleCrop>false</ScaleCrop>
  <LinksUpToDate>false</LinksUpToDate>
  <CharactersWithSpaces>4058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2020-09-01T00:19:00Z</dcterms:created>
  <dc:creator>Y</dc:creator>
  <cp:lastModifiedBy>林乾毅</cp:lastModifiedBy>
  <cp:lastPrinted>2020-09-10T00:44:00Z</cp:lastPrinted>
  <dcterms:modified xsi:type="dcterms:W3CDTF">2022-09-27T06:34:18Z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8563F3209F1E4AD78A941A9C96A30CF2</vt:lpwstr>
  </property>
</Properties>
</file>