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r>
        <w:rPr>
          <w:rFonts w:hint="eastAsia" w:ascii="黑体" w:hAnsi="黑体" w:eastAsia="黑体" w:cs="黑体"/>
          <w:sz w:val="40"/>
          <w:szCs w:val="48"/>
        </w:rPr>
        <w:t xml:space="preserve">    县财政局政务公开事项目录</w:t>
      </w:r>
    </w:p>
    <w:p>
      <w:pPr>
        <w:jc w:val="left"/>
        <w:rPr>
          <w:szCs w:val="21"/>
        </w:rPr>
      </w:pP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386"/>
        <w:gridCol w:w="1925"/>
        <w:gridCol w:w="825"/>
        <w:gridCol w:w="3322"/>
        <w:gridCol w:w="2200"/>
        <w:gridCol w:w="763"/>
        <w:gridCol w:w="1171"/>
        <w:gridCol w:w="1667"/>
      </w:tblGrid>
      <w:tr>
        <w:tblPrEx>
          <w:tblCellMar>
            <w:top w:w="0" w:type="dxa"/>
            <w:left w:w="108" w:type="dxa"/>
            <w:bottom w:w="0" w:type="dxa"/>
            <w:right w:w="108" w:type="dxa"/>
          </w:tblCellMar>
        </w:tblPrEx>
        <w:tc>
          <w:tcPr>
            <w:tcW w:w="319" w:type="pct"/>
            <w:vAlign w:val="center"/>
          </w:tcPr>
          <w:p>
            <w:pPr>
              <w:rPr>
                <w:rFonts w:ascii="宋体" w:hAnsi="宋体" w:eastAsia="宋体" w:cs="宋体"/>
                <w:szCs w:val="21"/>
              </w:rPr>
            </w:pPr>
            <w:r>
              <w:rPr>
                <w:rFonts w:hint="eastAsia" w:ascii="宋体" w:hAnsi="宋体" w:eastAsia="宋体" w:cs="宋体"/>
                <w:szCs w:val="21"/>
              </w:rPr>
              <w:t>事项类别</w:t>
            </w:r>
          </w:p>
        </w:tc>
        <w:tc>
          <w:tcPr>
            <w:tcW w:w="489" w:type="pct"/>
            <w:vAlign w:val="center"/>
          </w:tcPr>
          <w:p>
            <w:pPr>
              <w:rPr>
                <w:rFonts w:ascii="宋体" w:hAnsi="宋体" w:eastAsia="宋体" w:cs="宋体"/>
                <w:szCs w:val="21"/>
              </w:rPr>
            </w:pPr>
            <w:r>
              <w:rPr>
                <w:rFonts w:hint="eastAsia" w:ascii="宋体" w:hAnsi="宋体" w:eastAsia="宋体" w:cs="宋体"/>
                <w:szCs w:val="21"/>
              </w:rPr>
              <w:t>事项名称</w:t>
            </w:r>
          </w:p>
        </w:tc>
        <w:tc>
          <w:tcPr>
            <w:tcW w:w="679" w:type="pct"/>
            <w:vAlign w:val="center"/>
          </w:tcPr>
          <w:p>
            <w:pPr>
              <w:rPr>
                <w:rFonts w:ascii="宋体" w:hAnsi="宋体" w:eastAsia="宋体" w:cs="宋体"/>
                <w:szCs w:val="21"/>
              </w:rPr>
            </w:pPr>
            <w:r>
              <w:rPr>
                <w:rFonts w:hint="eastAsia" w:ascii="宋体" w:hAnsi="宋体" w:eastAsia="宋体" w:cs="宋体"/>
                <w:szCs w:val="21"/>
              </w:rPr>
              <w:t>公开依据</w:t>
            </w:r>
          </w:p>
        </w:tc>
        <w:tc>
          <w:tcPr>
            <w:tcW w:w="291" w:type="pct"/>
            <w:vAlign w:val="center"/>
          </w:tcPr>
          <w:p>
            <w:pPr>
              <w:rPr>
                <w:rFonts w:ascii="宋体" w:hAnsi="宋体" w:eastAsia="宋体" w:cs="宋体"/>
                <w:szCs w:val="21"/>
              </w:rPr>
            </w:pPr>
            <w:r>
              <w:rPr>
                <w:rFonts w:hint="eastAsia" w:ascii="宋体" w:hAnsi="宋体" w:eastAsia="宋体" w:cs="宋体"/>
                <w:szCs w:val="21"/>
              </w:rPr>
              <w:t>五公开过程</w:t>
            </w:r>
          </w:p>
        </w:tc>
        <w:tc>
          <w:tcPr>
            <w:tcW w:w="1172" w:type="pct"/>
            <w:vAlign w:val="center"/>
          </w:tcPr>
          <w:p>
            <w:pPr>
              <w:rPr>
                <w:rFonts w:ascii="宋体" w:hAnsi="宋体" w:eastAsia="宋体" w:cs="宋体"/>
                <w:szCs w:val="21"/>
              </w:rPr>
            </w:pPr>
            <w:r>
              <w:rPr>
                <w:rFonts w:hint="eastAsia" w:ascii="宋体" w:hAnsi="宋体" w:eastAsia="宋体" w:cs="宋体"/>
                <w:szCs w:val="21"/>
              </w:rPr>
              <w:t>内容要求</w:t>
            </w:r>
          </w:p>
        </w:tc>
        <w:tc>
          <w:tcPr>
            <w:tcW w:w="776" w:type="pct"/>
            <w:vAlign w:val="center"/>
          </w:tcPr>
          <w:p>
            <w:pPr>
              <w:rPr>
                <w:rFonts w:ascii="宋体" w:hAnsi="宋体" w:eastAsia="宋体" w:cs="宋体"/>
                <w:szCs w:val="21"/>
              </w:rPr>
            </w:pPr>
            <w:r>
              <w:rPr>
                <w:rFonts w:hint="eastAsia" w:ascii="宋体" w:hAnsi="宋体" w:eastAsia="宋体" w:cs="宋体"/>
                <w:szCs w:val="21"/>
              </w:rPr>
              <w:t>公开时限</w:t>
            </w:r>
          </w:p>
        </w:tc>
        <w:tc>
          <w:tcPr>
            <w:tcW w:w="269" w:type="pct"/>
            <w:vAlign w:val="center"/>
          </w:tcPr>
          <w:p>
            <w:pPr>
              <w:rPr>
                <w:rFonts w:ascii="宋体" w:hAnsi="宋体" w:eastAsia="宋体" w:cs="宋体"/>
                <w:szCs w:val="21"/>
              </w:rPr>
            </w:pPr>
            <w:r>
              <w:rPr>
                <w:rFonts w:hint="eastAsia" w:ascii="宋体" w:hAnsi="宋体" w:eastAsia="宋体" w:cs="宋体"/>
                <w:szCs w:val="21"/>
              </w:rPr>
              <w:t>公开格式</w:t>
            </w:r>
          </w:p>
        </w:tc>
        <w:tc>
          <w:tcPr>
            <w:tcW w:w="413" w:type="pct"/>
            <w:vAlign w:val="center"/>
          </w:tcPr>
          <w:p>
            <w:pPr>
              <w:rPr>
                <w:rFonts w:ascii="宋体" w:hAnsi="宋体" w:eastAsia="宋体" w:cs="宋体"/>
                <w:szCs w:val="21"/>
              </w:rPr>
            </w:pPr>
            <w:r>
              <w:rPr>
                <w:rFonts w:hint="eastAsia" w:ascii="宋体" w:hAnsi="宋体" w:eastAsia="宋体" w:cs="宋体"/>
                <w:szCs w:val="21"/>
              </w:rPr>
              <w:t>公开渠道</w:t>
            </w:r>
          </w:p>
        </w:tc>
        <w:tc>
          <w:tcPr>
            <w:tcW w:w="588" w:type="pct"/>
            <w:vAlign w:val="center"/>
          </w:tcPr>
          <w:p>
            <w:pPr>
              <w:rPr>
                <w:rFonts w:ascii="宋体" w:hAnsi="宋体" w:eastAsia="宋体" w:cs="宋体"/>
                <w:szCs w:val="21"/>
              </w:rPr>
            </w:pPr>
            <w:r>
              <w:rPr>
                <w:rFonts w:hint="eastAsia" w:ascii="宋体" w:hAnsi="宋体" w:eastAsia="宋体" w:cs="宋体"/>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政府信息公开</w:t>
            </w:r>
          </w:p>
        </w:tc>
        <w:tc>
          <w:tcPr>
            <w:tcW w:w="489" w:type="pct"/>
            <w:vAlign w:val="center"/>
          </w:tcPr>
          <w:p>
            <w:pPr>
              <w:rPr>
                <w:rFonts w:ascii="宋体" w:hAnsi="宋体" w:eastAsia="宋体" w:cs="宋体"/>
                <w:szCs w:val="21"/>
              </w:rPr>
            </w:pPr>
            <w:r>
              <w:rPr>
                <w:rFonts w:hint="eastAsia" w:ascii="宋体" w:hAnsi="宋体" w:eastAsia="宋体" w:cs="宋体"/>
                <w:szCs w:val="21"/>
              </w:rPr>
              <w:t>政府信息主动公开目录</w:t>
            </w: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服务</w:t>
            </w:r>
          </w:p>
        </w:tc>
        <w:tc>
          <w:tcPr>
            <w:tcW w:w="1172" w:type="pct"/>
            <w:vAlign w:val="center"/>
          </w:tcPr>
          <w:p>
            <w:pPr>
              <w:rPr>
                <w:rFonts w:ascii="宋体" w:hAnsi="宋体" w:eastAsia="宋体" w:cs="宋体"/>
                <w:szCs w:val="21"/>
              </w:rPr>
            </w:pPr>
            <w:r>
              <w:rPr>
                <w:rFonts w:hint="eastAsia" w:ascii="宋体" w:hAnsi="宋体" w:eastAsia="宋体" w:cs="宋体"/>
                <w:szCs w:val="21"/>
              </w:rPr>
              <w:t>本单位政府信息主动公开基本目录</w:t>
            </w: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Merge w:val="restar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政府信息公开指南</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服务</w:t>
            </w:r>
          </w:p>
        </w:tc>
        <w:tc>
          <w:tcPr>
            <w:tcW w:w="1172" w:type="pct"/>
            <w:vAlign w:val="center"/>
          </w:tcPr>
          <w:p>
            <w:pPr>
              <w:rPr>
                <w:rFonts w:ascii="宋体" w:hAnsi="宋体" w:eastAsia="宋体" w:cs="宋体"/>
                <w:szCs w:val="21"/>
              </w:rPr>
            </w:pPr>
            <w:r>
              <w:rPr>
                <w:rFonts w:hint="eastAsia" w:ascii="宋体" w:hAnsi="宋体" w:eastAsia="宋体" w:cs="宋体"/>
                <w:szCs w:val="21"/>
              </w:rPr>
              <w:t>本单位政府信息公开指南</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政府信息公开制度</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决策</w:t>
            </w:r>
          </w:p>
        </w:tc>
        <w:tc>
          <w:tcPr>
            <w:tcW w:w="1172" w:type="pct"/>
            <w:vAlign w:val="center"/>
          </w:tcPr>
          <w:p>
            <w:pPr>
              <w:rPr>
                <w:rFonts w:ascii="宋体" w:hAnsi="宋体" w:eastAsia="宋体" w:cs="宋体"/>
                <w:szCs w:val="21"/>
              </w:rPr>
            </w:pPr>
            <w:r>
              <w:rPr>
                <w:rFonts w:hint="eastAsia" w:ascii="宋体" w:hAnsi="宋体" w:eastAsia="宋体" w:cs="宋体"/>
                <w:szCs w:val="21"/>
              </w:rPr>
              <w:t>本单位政府信息公开工作制度</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政府信息公开年报</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本单位政府信息公开工作年度报告</w:t>
            </w:r>
          </w:p>
        </w:tc>
        <w:tc>
          <w:tcPr>
            <w:tcW w:w="776" w:type="pct"/>
            <w:vAlign w:val="center"/>
          </w:tcPr>
          <w:p>
            <w:pPr>
              <w:rPr>
                <w:rFonts w:ascii="宋体" w:hAnsi="宋体" w:eastAsia="宋体" w:cs="宋体"/>
                <w:szCs w:val="21"/>
              </w:rPr>
            </w:pPr>
            <w:r>
              <w:rPr>
                <w:rFonts w:hint="eastAsia" w:ascii="宋体" w:hAnsi="宋体" w:eastAsia="宋体" w:cs="宋体"/>
                <w:szCs w:val="21"/>
              </w:rPr>
              <w:t>每年1月31日前</w:t>
            </w:r>
          </w:p>
        </w:tc>
        <w:tc>
          <w:tcPr>
            <w:tcW w:w="269" w:type="pct"/>
            <w:vAlign w:val="center"/>
          </w:tcPr>
          <w:p>
            <w:pPr>
              <w:rPr>
                <w:rFonts w:ascii="宋体" w:hAnsi="宋体" w:eastAsia="宋体" w:cs="宋体"/>
                <w:szCs w:val="21"/>
              </w:rPr>
            </w:pPr>
            <w:r>
              <w:rPr>
                <w:rFonts w:hint="eastAsia" w:ascii="宋体" w:hAnsi="宋体" w:eastAsia="宋体" w:cs="宋体"/>
                <w:szCs w:val="21"/>
              </w:rPr>
              <w:t>文本、图表</w:t>
            </w: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Tahoma" w:hAnsi="Tahoma" w:eastAsia="宋体" w:cs="Tahoma"/>
                <w:color w:val="111F2C"/>
                <w:szCs w:val="21"/>
                <w:shd w:val="clear" w:color="auto" w:fill="FFFFFF"/>
              </w:rPr>
              <w:t>机构信息</w:t>
            </w:r>
          </w:p>
        </w:tc>
        <w:tc>
          <w:tcPr>
            <w:tcW w:w="489" w:type="pct"/>
            <w:vAlign w:val="center"/>
          </w:tcPr>
          <w:p>
            <w:pPr>
              <w:rPr>
                <w:rFonts w:ascii="宋体" w:hAnsi="宋体" w:eastAsia="宋体" w:cs="宋体"/>
                <w:szCs w:val="21"/>
              </w:rPr>
            </w:pPr>
            <w:r>
              <w:rPr>
                <w:rFonts w:hint="eastAsia" w:ascii="Tahoma" w:hAnsi="Tahoma" w:eastAsia="宋体" w:cs="Tahoma"/>
                <w:color w:val="111F2C"/>
                <w:szCs w:val="21"/>
                <w:shd w:val="clear" w:color="auto" w:fill="FFFFFF"/>
              </w:rPr>
              <w:t>机构概况</w:t>
            </w: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《中华人民共和国政府信息公开条例》、三定方案</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ascii="Tahoma" w:hAnsi="Tahoma" w:eastAsia="Tahoma" w:cs="Tahoma"/>
                <w:color w:val="111F2C"/>
                <w:szCs w:val="21"/>
                <w:shd w:val="clear" w:color="auto" w:fill="FFFFFF"/>
              </w:rPr>
              <w:t>本单位名称、工作职能、办公地址、办公时间、联系电话等信息</w:t>
            </w: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Merge w:val="restar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领导信息</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ascii="Tahoma" w:hAnsi="Tahoma" w:eastAsia="Tahoma" w:cs="Tahoma"/>
                <w:color w:val="111F2C"/>
                <w:szCs w:val="21"/>
                <w:shd w:val="clear" w:color="auto" w:fill="FFFFFF"/>
              </w:rPr>
              <w:t>本单位领导的姓名、职务、简历、分工等信息</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ascii="Tahoma" w:hAnsi="Tahoma" w:eastAsia="Tahoma" w:cs="Tahoma"/>
                <w:color w:val="111F2C"/>
                <w:szCs w:val="21"/>
                <w:shd w:val="clear" w:color="auto" w:fill="FFFFFF"/>
              </w:rPr>
              <w:t>内设机构</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ascii="Tahoma" w:hAnsi="Tahoma" w:eastAsia="Tahoma" w:cs="Tahoma"/>
                <w:color w:val="111F2C"/>
                <w:szCs w:val="21"/>
                <w:shd w:val="clear" w:color="auto" w:fill="FFFFFF"/>
              </w:rPr>
              <w:t>本单位内设机构的名称、职能、责任人、联系电话等信息</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ascii="Tahoma" w:hAnsi="Tahoma" w:eastAsia="Tahoma" w:cs="Tahoma"/>
                <w:color w:val="111F2C"/>
                <w:szCs w:val="21"/>
                <w:shd w:val="clear" w:color="auto" w:fill="FFFFFF"/>
              </w:rPr>
              <w:t>直属单位或下属机构</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ascii="Tahoma" w:hAnsi="Tahoma" w:eastAsia="Tahoma" w:cs="Tahoma"/>
                <w:color w:val="111F2C"/>
                <w:szCs w:val="21"/>
                <w:shd w:val="clear" w:color="auto" w:fill="FFFFFF"/>
              </w:rPr>
              <w:t>本单位直属单位或下属机构的名称、职能、地址、联系方式等信息</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政策文件</w:t>
            </w:r>
          </w:p>
        </w:tc>
        <w:tc>
          <w:tcPr>
            <w:tcW w:w="489" w:type="pct"/>
            <w:vAlign w:val="center"/>
          </w:tcPr>
          <w:p>
            <w:pPr>
              <w:rPr>
                <w:rFonts w:ascii="宋体" w:hAnsi="宋体" w:eastAsia="宋体" w:cs="宋体"/>
                <w:szCs w:val="21"/>
              </w:rPr>
            </w:pPr>
            <w:r>
              <w:rPr>
                <w:rFonts w:hint="eastAsia" w:ascii="宋体" w:hAnsi="宋体" w:eastAsia="宋体" w:cs="宋体"/>
                <w:szCs w:val="21"/>
              </w:rPr>
              <w:t>行政规范性文件</w:t>
            </w: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《中华人民共和国政府信息公开条例》《浙江省行政机关政策解读工作实施办法》</w:t>
            </w:r>
          </w:p>
        </w:tc>
        <w:tc>
          <w:tcPr>
            <w:tcW w:w="291" w:type="pct"/>
            <w:vAlign w:val="center"/>
          </w:tcPr>
          <w:p>
            <w:pPr>
              <w:rPr>
                <w:rFonts w:ascii="宋体" w:hAnsi="宋体" w:eastAsia="宋体" w:cs="宋体"/>
                <w:szCs w:val="21"/>
              </w:rPr>
            </w:pPr>
            <w:r>
              <w:rPr>
                <w:rFonts w:hint="eastAsia" w:ascii="宋体" w:hAnsi="宋体" w:eastAsia="宋体" w:cs="宋体"/>
                <w:szCs w:val="21"/>
              </w:rPr>
              <w:t>决策</w:t>
            </w:r>
          </w:p>
        </w:tc>
        <w:tc>
          <w:tcPr>
            <w:tcW w:w="1172" w:type="pct"/>
            <w:vAlign w:val="center"/>
          </w:tcPr>
          <w:p>
            <w:pPr>
              <w:rPr>
                <w:rFonts w:ascii="宋体" w:hAnsi="宋体" w:eastAsia="宋体" w:cs="宋体"/>
                <w:szCs w:val="21"/>
              </w:rPr>
            </w:pPr>
            <w:r>
              <w:rPr>
                <w:rFonts w:hint="eastAsia" w:ascii="宋体" w:hAnsi="宋体" w:eastAsia="宋体" w:cs="宋体"/>
                <w:szCs w:val="21"/>
              </w:rPr>
              <w:t>本单位制发的行政规范性文件</w:t>
            </w: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政策解读</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执行</w:t>
            </w:r>
          </w:p>
        </w:tc>
        <w:tc>
          <w:tcPr>
            <w:tcW w:w="1172" w:type="pct"/>
            <w:vAlign w:val="center"/>
          </w:tcPr>
          <w:p>
            <w:pPr>
              <w:rPr>
                <w:rFonts w:ascii="宋体" w:hAnsi="宋体" w:eastAsia="宋体" w:cs="宋体"/>
                <w:szCs w:val="21"/>
              </w:rPr>
            </w:pPr>
            <w:r>
              <w:rPr>
                <w:rFonts w:hint="eastAsia" w:ascii="宋体" w:hAnsi="宋体" w:eastAsia="宋体" w:cs="宋体"/>
                <w:szCs w:val="21"/>
              </w:rPr>
              <w:t>本单位制发的行政规范性文件及重要政策文件解读</w:t>
            </w:r>
          </w:p>
        </w:tc>
        <w:tc>
          <w:tcPr>
            <w:tcW w:w="776" w:type="pct"/>
            <w:vMerge w:val="continue"/>
            <w:vAlign w:val="center"/>
          </w:tcPr>
          <w:p>
            <w:pPr>
              <w:rPr>
                <w:rFonts w:ascii="宋体" w:hAnsi="宋体" w:eastAsia="宋体" w:cs="宋体"/>
                <w:szCs w:val="21"/>
              </w:rPr>
            </w:pPr>
          </w:p>
        </w:tc>
        <w:tc>
          <w:tcPr>
            <w:tcW w:w="269" w:type="pct"/>
            <w:vAlign w:val="center"/>
          </w:tcPr>
          <w:p>
            <w:pPr>
              <w:rPr>
                <w:rFonts w:ascii="宋体" w:hAnsi="宋体" w:eastAsia="宋体" w:cs="宋体"/>
                <w:szCs w:val="21"/>
              </w:rPr>
            </w:pPr>
            <w:r>
              <w:rPr>
                <w:rFonts w:hint="eastAsia" w:ascii="宋体" w:hAnsi="宋体" w:eastAsia="宋体" w:cs="宋体"/>
                <w:szCs w:val="21"/>
              </w:rPr>
              <w:t>文本、图表、音频、视频</w:t>
            </w: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其他政策文件</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决策</w:t>
            </w:r>
          </w:p>
        </w:tc>
        <w:tc>
          <w:tcPr>
            <w:tcW w:w="1172" w:type="pct"/>
            <w:vAlign w:val="center"/>
          </w:tcPr>
          <w:p>
            <w:pPr>
              <w:rPr>
                <w:rFonts w:ascii="宋体" w:hAnsi="宋体" w:eastAsia="宋体" w:cs="宋体"/>
                <w:szCs w:val="21"/>
              </w:rPr>
            </w:pPr>
            <w:r>
              <w:rPr>
                <w:rFonts w:hint="eastAsia" w:ascii="宋体" w:hAnsi="宋体" w:eastAsia="宋体" w:cs="宋体"/>
                <w:szCs w:val="21"/>
              </w:rPr>
              <w:t>本单位制发的其他政策文件</w:t>
            </w:r>
          </w:p>
        </w:tc>
        <w:tc>
          <w:tcPr>
            <w:tcW w:w="776" w:type="pct"/>
            <w:vMerge w:val="continue"/>
            <w:vAlign w:val="center"/>
          </w:tcPr>
          <w:p>
            <w:pPr>
              <w:rPr>
                <w:rFonts w:ascii="宋体" w:hAnsi="宋体" w:eastAsia="宋体" w:cs="宋体"/>
                <w:szCs w:val="21"/>
              </w:rPr>
            </w:pP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319" w:type="pct"/>
            <w:vMerge w:val="restart"/>
            <w:vAlign w:val="center"/>
          </w:tcPr>
          <w:p>
            <w:pPr>
              <w:rPr>
                <w:rFonts w:ascii="宋体" w:hAnsi="宋体" w:eastAsia="宋体" w:cs="宋体"/>
                <w:szCs w:val="21"/>
              </w:rPr>
            </w:pPr>
            <w:r>
              <w:rPr>
                <w:rFonts w:hint="eastAsia" w:ascii="宋体" w:hAnsi="宋体" w:eastAsia="宋体" w:cs="宋体"/>
                <w:szCs w:val="21"/>
              </w:rPr>
              <w:t>规划计划</w:t>
            </w:r>
          </w:p>
        </w:tc>
        <w:tc>
          <w:tcPr>
            <w:tcW w:w="489" w:type="pct"/>
            <w:vAlign w:val="center"/>
          </w:tcPr>
          <w:p>
            <w:pPr>
              <w:rPr>
                <w:rFonts w:ascii="宋体" w:hAnsi="宋体" w:eastAsia="宋体" w:cs="宋体"/>
                <w:szCs w:val="21"/>
              </w:rPr>
            </w:pPr>
            <w:r>
              <w:rPr>
                <w:rFonts w:hint="eastAsia" w:ascii="宋体" w:hAnsi="宋体" w:eastAsia="宋体" w:cs="宋体"/>
                <w:szCs w:val="21"/>
              </w:rPr>
              <w:t>专项规划</w:t>
            </w:r>
          </w:p>
          <w:p>
            <w:pPr>
              <w:rPr>
                <w:rFonts w:ascii="宋体" w:hAnsi="宋体" w:eastAsia="宋体" w:cs="宋体"/>
                <w:szCs w:val="21"/>
              </w:rPr>
            </w:pP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决策</w:t>
            </w:r>
          </w:p>
          <w:p>
            <w:pPr>
              <w:rPr>
                <w:rFonts w:ascii="宋体" w:hAnsi="宋体" w:eastAsia="宋体" w:cs="宋体"/>
                <w:szCs w:val="21"/>
              </w:rPr>
            </w:pPr>
          </w:p>
        </w:tc>
        <w:tc>
          <w:tcPr>
            <w:tcW w:w="1172" w:type="pct"/>
            <w:vAlign w:val="center"/>
          </w:tcPr>
          <w:p>
            <w:pPr>
              <w:rPr>
                <w:rFonts w:ascii="宋体" w:hAnsi="宋体" w:eastAsia="宋体" w:cs="宋体"/>
                <w:szCs w:val="21"/>
              </w:rPr>
            </w:pPr>
            <w:r>
              <w:rPr>
                <w:rFonts w:hint="eastAsia" w:ascii="宋体" w:hAnsi="宋体" w:eastAsia="宋体" w:cs="宋体"/>
                <w:szCs w:val="21"/>
              </w:rPr>
              <w:t>行业专项发展规划</w:t>
            </w:r>
          </w:p>
          <w:p>
            <w:pPr>
              <w:rPr>
                <w:rFonts w:ascii="宋体" w:hAnsi="宋体" w:eastAsia="宋体" w:cs="宋体"/>
                <w:szCs w:val="21"/>
              </w:rPr>
            </w:pP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Merge w:val="restar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 xml:space="preserve">监督举报电话：0580-12345 </w:t>
            </w:r>
          </w:p>
          <w:p>
            <w:pPr>
              <w:rPr>
                <w:rFonts w:ascii="宋体" w:hAnsi="宋体" w:eastAsia="宋体" w:cs="宋体"/>
                <w:szCs w:val="21"/>
              </w:rPr>
            </w:pPr>
            <w:r>
              <w:rPr>
                <w:rFonts w:hint="eastAsia" w:ascii="宋体" w:hAnsi="宋体" w:eastAsia="宋体" w:cs="宋体"/>
                <w:szCs w:val="21"/>
              </w:rPr>
              <w:t>咨询电话：0580-5087845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计划总结</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本单位年度、半年度工作总结和工作计划</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9" w:type="pct"/>
            <w:vAlign w:val="center"/>
          </w:tcPr>
          <w:p>
            <w:pPr>
              <w:widowControl/>
              <w:textAlignment w:val="center"/>
              <w:rPr>
                <w:rFonts w:ascii="宋体" w:hAnsi="宋体" w:eastAsia="宋体" w:cs="宋体"/>
                <w:szCs w:val="21"/>
              </w:rPr>
            </w:pPr>
            <w:r>
              <w:rPr>
                <w:rFonts w:hint="eastAsia" w:ascii="宋体" w:hAnsi="宋体" w:eastAsia="宋体" w:cs="宋体"/>
                <w:bCs/>
                <w:color w:val="000000"/>
                <w:kern w:val="0"/>
                <w:szCs w:val="21"/>
                <w:lang w:bidi="ar"/>
              </w:rPr>
              <w:t>统计信息</w:t>
            </w:r>
          </w:p>
        </w:tc>
        <w:tc>
          <w:tcPr>
            <w:tcW w:w="489" w:type="pct"/>
            <w:vAlign w:val="center"/>
          </w:tcPr>
          <w:p>
            <w:pPr>
              <w:rPr>
                <w:rFonts w:ascii="宋体" w:hAnsi="宋体" w:eastAsia="宋体" w:cs="宋体"/>
                <w:szCs w:val="21"/>
              </w:rPr>
            </w:pPr>
            <w:r>
              <w:rPr>
                <w:rFonts w:hint="eastAsia" w:ascii="宋体" w:hAnsi="宋体" w:eastAsia="宋体" w:cs="宋体"/>
                <w:szCs w:val="21"/>
              </w:rPr>
              <w:t>统计数据</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本单位业务统计数据</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文本/图表</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9" w:type="pct"/>
            <w:vMerge w:val="restart"/>
            <w:vAlign w:val="center"/>
          </w:tcPr>
          <w:p>
            <w:pPr>
              <w:rPr>
                <w:rFonts w:ascii="宋体" w:hAnsi="宋体" w:eastAsia="宋体" w:cs="宋体"/>
                <w:szCs w:val="21"/>
              </w:rPr>
            </w:pPr>
            <w:r>
              <w:rPr>
                <w:rFonts w:hint="eastAsia" w:ascii="宋体" w:hAnsi="宋体" w:eastAsia="宋体" w:cs="宋体"/>
                <w:szCs w:val="21"/>
              </w:rPr>
              <w:t>财政信息</w:t>
            </w:r>
          </w:p>
        </w:tc>
        <w:tc>
          <w:tcPr>
            <w:tcW w:w="489" w:type="pct"/>
            <w:vAlign w:val="center"/>
          </w:tcPr>
          <w:p>
            <w:pPr>
              <w:rPr>
                <w:rFonts w:ascii="宋体" w:hAnsi="宋体" w:eastAsia="宋体" w:cs="宋体"/>
                <w:szCs w:val="21"/>
              </w:rPr>
            </w:pPr>
            <w:r>
              <w:rPr>
                <w:rFonts w:hint="eastAsia" w:ascii="宋体" w:hAnsi="宋体" w:eastAsia="宋体" w:cs="宋体"/>
                <w:szCs w:val="21"/>
              </w:rPr>
              <w:t>部门年度预算</w:t>
            </w: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执行</w:t>
            </w:r>
          </w:p>
        </w:tc>
        <w:tc>
          <w:tcPr>
            <w:tcW w:w="1172" w:type="pct"/>
            <w:vAlign w:val="center"/>
          </w:tcPr>
          <w:p>
            <w:pPr>
              <w:rPr>
                <w:rFonts w:ascii="宋体" w:hAnsi="宋体" w:eastAsia="宋体" w:cs="宋体"/>
                <w:szCs w:val="21"/>
              </w:rPr>
            </w:pPr>
            <w:r>
              <w:rPr>
                <w:rFonts w:hint="eastAsia" w:ascii="宋体" w:hAnsi="宋体" w:eastAsia="宋体" w:cs="宋体"/>
                <w:szCs w:val="21"/>
              </w:rPr>
              <w:t>本单位部门年度财政预算</w:t>
            </w:r>
          </w:p>
        </w:tc>
        <w:tc>
          <w:tcPr>
            <w:tcW w:w="776" w:type="pct"/>
            <w:vAlign w:val="center"/>
          </w:tcPr>
          <w:p>
            <w:pPr>
              <w:rPr>
                <w:rFonts w:ascii="宋体" w:hAnsi="宋体" w:eastAsia="宋体" w:cs="宋体"/>
                <w:szCs w:val="21"/>
              </w:rPr>
            </w:pPr>
            <w:r>
              <w:rPr>
                <w:rFonts w:hint="eastAsia" w:ascii="宋体" w:hAnsi="宋体" w:eastAsia="宋体" w:cs="宋体"/>
                <w:szCs w:val="21"/>
              </w:rPr>
              <w:t>每年3月1日前</w:t>
            </w:r>
          </w:p>
        </w:tc>
        <w:tc>
          <w:tcPr>
            <w:tcW w:w="269" w:type="pct"/>
            <w:vMerge w:val="restart"/>
            <w:vAlign w:val="center"/>
          </w:tcPr>
          <w:p>
            <w:pPr>
              <w:rPr>
                <w:rFonts w:ascii="宋体" w:hAnsi="宋体" w:eastAsia="宋体" w:cs="宋体"/>
                <w:szCs w:val="21"/>
              </w:rPr>
            </w:pPr>
            <w:r>
              <w:rPr>
                <w:rFonts w:hint="eastAsia" w:ascii="宋体" w:hAnsi="宋体" w:eastAsia="宋体" w:cs="宋体"/>
                <w:szCs w:val="21"/>
              </w:rPr>
              <w:t>文本</w:t>
            </w: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部门年度决算</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本单位部门年度财政决算报告</w:t>
            </w:r>
          </w:p>
        </w:tc>
        <w:tc>
          <w:tcPr>
            <w:tcW w:w="776" w:type="pct"/>
            <w:vAlign w:val="center"/>
          </w:tcPr>
          <w:p>
            <w:pPr>
              <w:rPr>
                <w:rFonts w:ascii="宋体" w:hAnsi="宋体" w:eastAsia="宋体" w:cs="宋体"/>
                <w:szCs w:val="21"/>
              </w:rPr>
            </w:pPr>
            <w:r>
              <w:rPr>
                <w:rFonts w:hint="eastAsia" w:ascii="宋体" w:hAnsi="宋体" w:eastAsia="宋体" w:cs="宋体"/>
                <w:szCs w:val="21"/>
              </w:rPr>
              <w:t>每年9月15日前</w:t>
            </w: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行政事业性收费</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执行</w:t>
            </w:r>
          </w:p>
        </w:tc>
        <w:tc>
          <w:tcPr>
            <w:tcW w:w="1172" w:type="pct"/>
            <w:vAlign w:val="center"/>
          </w:tcPr>
          <w:p>
            <w:pPr>
              <w:rPr>
                <w:rFonts w:ascii="宋体" w:hAnsi="宋体" w:eastAsia="宋体" w:cs="宋体"/>
                <w:szCs w:val="21"/>
              </w:rPr>
            </w:pPr>
            <w:r>
              <w:rPr>
                <w:rFonts w:hint="eastAsia" w:ascii="宋体" w:hAnsi="宋体" w:eastAsia="宋体" w:cs="宋体"/>
                <w:szCs w:val="21"/>
              </w:rPr>
              <w:t>本单位行政事业性收费目录和批复</w:t>
            </w: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财政专项资金</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执行</w:t>
            </w:r>
          </w:p>
        </w:tc>
        <w:tc>
          <w:tcPr>
            <w:tcW w:w="1172" w:type="pct"/>
            <w:vAlign w:val="center"/>
          </w:tcPr>
          <w:p>
            <w:pPr>
              <w:rPr>
                <w:rFonts w:ascii="宋体" w:hAnsi="宋体" w:eastAsia="宋体" w:cs="宋体"/>
                <w:szCs w:val="21"/>
              </w:rPr>
            </w:pPr>
            <w:r>
              <w:rPr>
                <w:rFonts w:hint="eastAsia" w:ascii="宋体" w:hAnsi="宋体" w:eastAsia="宋体" w:cs="宋体"/>
                <w:szCs w:val="21"/>
              </w:rPr>
              <w:t>财政专项资金管理和使用情况</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政府预/决算</w:t>
            </w:r>
          </w:p>
        </w:tc>
        <w:tc>
          <w:tcPr>
            <w:tcW w:w="679" w:type="pct"/>
            <w:vAlign w:val="center"/>
          </w:tcPr>
          <w:p>
            <w:pPr>
              <w:rPr>
                <w:rFonts w:ascii="宋体" w:hAnsi="宋体" w:eastAsia="宋体" w:cs="宋体"/>
                <w:szCs w:val="21"/>
              </w:rPr>
            </w:pPr>
            <w:r>
              <w:rPr>
                <w:rFonts w:hint="eastAsia" w:ascii="宋体" w:hAnsi="宋体" w:eastAsia="宋体" w:cs="宋体"/>
                <w:color w:val="000000"/>
                <w:szCs w:val="21"/>
              </w:rPr>
              <w:t>《</w:t>
            </w:r>
            <w:r>
              <w:rPr>
                <w:rFonts w:hint="eastAsia" w:ascii="宋体" w:hAnsi="宋体" w:eastAsia="宋体" w:cs="宋体"/>
                <w:szCs w:val="21"/>
              </w:rPr>
              <w:t>中华人民共和国政府信息公开条例</w:t>
            </w:r>
            <w:r>
              <w:rPr>
                <w:rFonts w:hint="eastAsia" w:ascii="宋体" w:hAnsi="宋体" w:eastAsia="宋体" w:cs="宋体"/>
                <w:color w:val="000000"/>
                <w:szCs w:val="21"/>
              </w:rPr>
              <w:t>》</w:t>
            </w:r>
            <w:r>
              <w:rPr>
                <w:rFonts w:hint="eastAsia" w:ascii="宋体" w:hAnsi="宋体" w:eastAsia="宋体" w:cs="宋体"/>
                <w:szCs w:val="21"/>
              </w:rPr>
              <w:t>《中华人民共和国预算法》</w:t>
            </w:r>
            <w:r>
              <w:rPr>
                <w:rFonts w:hint="eastAsia" w:ascii="宋体" w:hAnsi="宋体" w:eastAsia="宋体" w:cs="宋体"/>
                <w:color w:val="000000"/>
                <w:szCs w:val="21"/>
              </w:rPr>
              <w:t>《财政部关于印发&lt;地方预决算公开操作规程的通知&gt;》</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hint="eastAsia" w:ascii="宋体" w:hAnsi="宋体" w:eastAsia="宋体" w:cs="宋体"/>
                <w:spacing w:val="-7"/>
                <w:szCs w:val="21"/>
              </w:rPr>
              <w:t>县本级预算、预算调整、决算、预算执行情况报</w:t>
            </w:r>
            <w:r>
              <w:rPr>
                <w:rFonts w:hint="eastAsia" w:ascii="宋体" w:hAnsi="宋体" w:eastAsia="宋体" w:cs="宋体"/>
                <w:spacing w:val="-5"/>
                <w:szCs w:val="21"/>
              </w:rPr>
              <w:t>告、</w:t>
            </w:r>
            <w:r>
              <w:rPr>
                <w:rFonts w:hint="eastAsia" w:ascii="宋体" w:hAnsi="宋体" w:eastAsia="宋体" w:cs="宋体"/>
                <w:szCs w:val="21"/>
              </w:rPr>
              <w:t>三公经费、财政收支情况等</w:t>
            </w:r>
            <w:r>
              <w:rPr>
                <w:rFonts w:hint="eastAsia" w:ascii="宋体" w:hAnsi="宋体" w:eastAsia="宋体" w:cs="宋体"/>
                <w:spacing w:val="-5"/>
                <w:szCs w:val="21"/>
              </w:rPr>
              <w:t>及相关报表</w:t>
            </w:r>
          </w:p>
        </w:tc>
        <w:tc>
          <w:tcPr>
            <w:tcW w:w="776" w:type="pct"/>
            <w:vAlign w:val="center"/>
          </w:tcPr>
          <w:p>
            <w:pPr>
              <w:rPr>
                <w:rFonts w:ascii="宋体" w:hAnsi="宋体" w:eastAsia="宋体" w:cs="宋体"/>
                <w:szCs w:val="21"/>
              </w:rPr>
            </w:pPr>
            <w:r>
              <w:rPr>
                <w:rFonts w:hint="eastAsia" w:ascii="宋体" w:hAnsi="宋体" w:eastAsia="宋体" w:cs="宋体"/>
                <w:color w:val="000000"/>
                <w:szCs w:val="21"/>
              </w:rPr>
              <w:t>县人民代表大会或其常务委员会批准后20日内</w:t>
            </w:r>
          </w:p>
        </w:tc>
        <w:tc>
          <w:tcPr>
            <w:tcW w:w="269" w:type="pct"/>
            <w:vAlign w:val="center"/>
          </w:tcPr>
          <w:p>
            <w:pPr>
              <w:rPr>
                <w:rFonts w:ascii="宋体" w:hAnsi="宋体" w:eastAsia="宋体" w:cs="宋体"/>
                <w:szCs w:val="21"/>
              </w:rPr>
            </w:pPr>
            <w:r>
              <w:rPr>
                <w:rFonts w:hint="eastAsia" w:ascii="宋体" w:hAnsi="宋体" w:eastAsia="宋体" w:cs="宋体"/>
                <w:szCs w:val="21"/>
              </w:rPr>
              <w:t>文本、图表</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 xml:space="preserve">咨询电话：0580-5087845监督举报电话：0580-12345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预算执行</w:t>
            </w:r>
          </w:p>
        </w:tc>
        <w:tc>
          <w:tcPr>
            <w:tcW w:w="679" w:type="pct"/>
            <w:vAlign w:val="center"/>
          </w:tcPr>
          <w:p>
            <w:pPr>
              <w:rPr>
                <w:rFonts w:ascii="宋体" w:hAnsi="宋体" w:eastAsia="宋体" w:cs="宋体"/>
                <w:color w:val="000000"/>
                <w:szCs w:val="21"/>
              </w:rPr>
            </w:pPr>
            <w:r>
              <w:rPr>
                <w:rFonts w:hint="eastAsia" w:ascii="宋体" w:hAnsi="宋体" w:eastAsia="宋体" w:cs="宋体"/>
                <w:color w:val="000000"/>
                <w:szCs w:val="21"/>
              </w:rPr>
              <w:t>《中华人民共和国政府信息公开条例》《财政部关于进一步推进财政预算信息公开的指导意见》</w:t>
            </w:r>
          </w:p>
        </w:tc>
        <w:tc>
          <w:tcPr>
            <w:tcW w:w="291" w:type="pct"/>
            <w:vAlign w:val="center"/>
          </w:tcPr>
          <w:p>
            <w:pPr>
              <w:rPr>
                <w:rFonts w:ascii="宋体" w:hAnsi="宋体" w:eastAsia="宋体" w:cs="宋体"/>
                <w:szCs w:val="21"/>
              </w:rPr>
            </w:pPr>
            <w:r>
              <w:rPr>
                <w:rFonts w:hint="eastAsia" w:ascii="宋体" w:hAnsi="宋体" w:eastAsia="宋体" w:cs="宋体"/>
                <w:szCs w:val="21"/>
              </w:rPr>
              <w:t>执行</w:t>
            </w:r>
          </w:p>
        </w:tc>
        <w:tc>
          <w:tcPr>
            <w:tcW w:w="1172" w:type="pct"/>
            <w:vAlign w:val="center"/>
          </w:tcPr>
          <w:p>
            <w:pPr>
              <w:rPr>
                <w:rFonts w:ascii="宋体" w:hAnsi="宋体" w:eastAsia="宋体" w:cs="宋体"/>
                <w:spacing w:val="-7"/>
                <w:szCs w:val="21"/>
              </w:rPr>
            </w:pPr>
            <w:r>
              <w:rPr>
                <w:rFonts w:hint="eastAsia" w:ascii="宋体" w:hAnsi="宋体" w:eastAsia="宋体" w:cs="宋体"/>
                <w:spacing w:val="-7"/>
                <w:szCs w:val="21"/>
              </w:rPr>
              <w:t>县本级每月一般公共预算收支执行情况及相关报表</w:t>
            </w:r>
          </w:p>
        </w:tc>
        <w:tc>
          <w:tcPr>
            <w:tcW w:w="776" w:type="pct"/>
            <w:vAlign w:val="center"/>
          </w:tcPr>
          <w:p>
            <w:pPr>
              <w:rPr>
                <w:rFonts w:ascii="宋体" w:hAnsi="宋体" w:eastAsia="宋体" w:cs="宋体"/>
                <w:color w:val="000000"/>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文本、图表</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 xml:space="preserve">咨询电话：0580-5087845监督举报电话：0580-12345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政府采购目录和标准</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szCs w:val="21"/>
                <w:shd w:val="clear" w:color="auto" w:fill="FFFFFF"/>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年度政府采购标准及目录</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其他专项信息</w:t>
            </w:r>
          </w:p>
        </w:tc>
        <w:tc>
          <w:tcPr>
            <w:tcW w:w="489" w:type="pct"/>
            <w:vAlign w:val="center"/>
          </w:tcPr>
          <w:p>
            <w:pPr>
              <w:rPr>
                <w:rFonts w:ascii="宋体" w:hAnsi="宋体" w:eastAsia="宋体" w:cs="宋体"/>
                <w:szCs w:val="21"/>
              </w:rPr>
            </w:pPr>
            <w:r>
              <w:rPr>
                <w:rFonts w:hint="eastAsia" w:ascii="宋体" w:hAnsi="宋体" w:eastAsia="宋体" w:cs="宋体"/>
                <w:szCs w:val="21"/>
              </w:rPr>
              <w:t>人大建议办理答复</w:t>
            </w:r>
          </w:p>
        </w:tc>
        <w:tc>
          <w:tcPr>
            <w:tcW w:w="679" w:type="pct"/>
            <w:vMerge w:val="restart"/>
            <w:vAlign w:val="center"/>
          </w:tcPr>
          <w:p>
            <w:pPr>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本单位办理的人大代表建议办理答复内容</w:t>
            </w:r>
          </w:p>
        </w:tc>
        <w:tc>
          <w:tcPr>
            <w:tcW w:w="776" w:type="pct"/>
            <w:vMerge w:val="restar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Merge w:val="restart"/>
            <w:vAlign w:val="center"/>
          </w:tcPr>
          <w:p>
            <w:pPr>
              <w:rPr>
                <w:rFonts w:ascii="宋体" w:hAnsi="宋体" w:eastAsia="宋体" w:cs="宋体"/>
                <w:szCs w:val="21"/>
              </w:rPr>
            </w:pPr>
            <w:r>
              <w:rPr>
                <w:rFonts w:hint="eastAsia" w:ascii="宋体" w:hAnsi="宋体" w:eastAsia="宋体" w:cs="宋体"/>
                <w:szCs w:val="21"/>
              </w:rPr>
              <w:t>文本</w:t>
            </w:r>
          </w:p>
          <w:p>
            <w:pPr>
              <w:rPr>
                <w:rFonts w:ascii="宋体" w:hAnsi="宋体" w:eastAsia="宋体" w:cs="宋体"/>
                <w:szCs w:val="21"/>
              </w:rPr>
            </w:pPr>
          </w:p>
        </w:tc>
        <w:tc>
          <w:tcPr>
            <w:tcW w:w="413" w:type="pct"/>
            <w:vMerge w:val="restar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政协提案办理答复</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本单位办理的政协提案办理答复内容</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国企监管</w:t>
            </w:r>
          </w:p>
        </w:tc>
        <w:tc>
          <w:tcPr>
            <w:tcW w:w="679" w:type="pct"/>
            <w:vMerge w:val="continue"/>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rPr>
                <w:rFonts w:ascii="宋体" w:hAnsi="宋体" w:eastAsia="宋体" w:cs="宋体"/>
                <w:szCs w:val="21"/>
              </w:rPr>
            </w:pPr>
            <w:r>
              <w:rPr>
                <w:rFonts w:hint="eastAsia" w:ascii="宋体" w:hAnsi="宋体" w:eastAsia="宋体" w:cs="宋体"/>
                <w:szCs w:val="21"/>
              </w:rPr>
              <w:t>国有企业名单、改革和监管信息</w:t>
            </w:r>
          </w:p>
        </w:tc>
        <w:tc>
          <w:tcPr>
            <w:tcW w:w="776" w:type="pct"/>
            <w:vMerge w:val="continue"/>
            <w:vAlign w:val="center"/>
          </w:tcPr>
          <w:p>
            <w:pPr>
              <w:rPr>
                <w:rFonts w:ascii="宋体" w:hAnsi="宋体" w:eastAsia="宋体" w:cs="宋体"/>
                <w:szCs w:val="21"/>
              </w:rPr>
            </w:pPr>
          </w:p>
        </w:tc>
        <w:tc>
          <w:tcPr>
            <w:tcW w:w="269" w:type="pct"/>
            <w:vMerge w:val="continue"/>
            <w:vAlign w:val="center"/>
          </w:tcPr>
          <w:p>
            <w:pPr>
              <w:rPr>
                <w:rFonts w:ascii="宋体" w:hAnsi="宋体" w:eastAsia="宋体" w:cs="宋体"/>
                <w:szCs w:val="21"/>
              </w:rPr>
            </w:pPr>
          </w:p>
        </w:tc>
        <w:tc>
          <w:tcPr>
            <w:tcW w:w="413" w:type="pct"/>
            <w:vMerge w:val="continue"/>
            <w:vAlign w:val="center"/>
          </w:tcPr>
          <w:p>
            <w:pPr>
              <w:rPr>
                <w:rFonts w:ascii="宋体" w:hAnsi="宋体" w:eastAsia="宋体" w:cs="宋体"/>
                <w:szCs w:val="21"/>
              </w:rPr>
            </w:pP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地方债务公开</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《中华人民共和国政府信息公开条例》《中华人民共和国预算法》</w:t>
            </w:r>
          </w:p>
        </w:tc>
        <w:tc>
          <w:tcPr>
            <w:tcW w:w="291" w:type="pct"/>
            <w:vAlign w:val="center"/>
          </w:tcPr>
          <w:p>
            <w:pPr>
              <w:rPr>
                <w:rFonts w:ascii="宋体" w:hAnsi="宋体" w:eastAsia="宋体" w:cs="宋体"/>
                <w:szCs w:val="21"/>
              </w:rPr>
            </w:pPr>
            <w:r>
              <w:rPr>
                <w:rFonts w:hint="eastAsia" w:ascii="宋体" w:hAnsi="宋体" w:eastAsia="宋体" w:cs="宋体"/>
                <w:szCs w:val="21"/>
              </w:rPr>
              <w:t>结果</w:t>
            </w:r>
          </w:p>
        </w:tc>
        <w:tc>
          <w:tcPr>
            <w:tcW w:w="1172" w:type="pct"/>
            <w:vAlign w:val="center"/>
          </w:tcPr>
          <w:p>
            <w:pPr>
              <w:rPr>
                <w:rFonts w:ascii="宋体" w:hAnsi="宋体" w:eastAsia="宋体" w:cs="宋体"/>
                <w:szCs w:val="21"/>
              </w:rPr>
            </w:pPr>
            <w:r>
              <w:rPr>
                <w:rFonts w:hint="eastAsia" w:ascii="宋体" w:hAnsi="宋体" w:eastAsia="宋体" w:cs="宋体"/>
                <w:szCs w:val="21"/>
              </w:rPr>
              <w:t>县本级地方债务信息</w:t>
            </w:r>
          </w:p>
        </w:tc>
        <w:tc>
          <w:tcPr>
            <w:tcW w:w="776" w:type="pct"/>
            <w:vAlign w:val="center"/>
          </w:tcPr>
          <w:p>
            <w:pPr>
              <w:rPr>
                <w:rFonts w:ascii="宋体" w:hAnsi="宋体" w:eastAsia="宋体" w:cs="宋体"/>
                <w:szCs w:val="21"/>
              </w:rPr>
            </w:pPr>
            <w:r>
              <w:rPr>
                <w:rFonts w:hint="eastAsia" w:ascii="宋体" w:hAnsi="宋体" w:eastAsia="宋体" w:cs="宋体"/>
                <w:color w:val="000000"/>
                <w:szCs w:val="21"/>
              </w:rPr>
              <w:t>县人民代表大会或其常务委员会批准后20日内</w:t>
            </w:r>
          </w:p>
        </w:tc>
        <w:tc>
          <w:tcPr>
            <w:tcW w:w="269" w:type="pct"/>
            <w:vAlign w:val="center"/>
          </w:tcPr>
          <w:p>
            <w:pPr>
              <w:rPr>
                <w:rFonts w:ascii="宋体" w:hAnsi="宋体" w:eastAsia="宋体" w:cs="宋体"/>
                <w:szCs w:val="21"/>
              </w:rPr>
            </w:pPr>
            <w:r>
              <w:rPr>
                <w:rFonts w:hint="eastAsia" w:ascii="宋体" w:hAnsi="宋体" w:eastAsia="宋体" w:cs="宋体"/>
                <w:szCs w:val="21"/>
              </w:rPr>
              <w:t>文本、图表</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行政许可</w:t>
            </w:r>
          </w:p>
        </w:tc>
        <w:tc>
          <w:tcPr>
            <w:tcW w:w="489" w:type="pct"/>
            <w:vAlign w:val="center"/>
          </w:tcPr>
          <w:p>
            <w:pPr>
              <w:rPr>
                <w:rFonts w:ascii="宋体" w:hAnsi="宋体" w:eastAsia="宋体" w:cs="宋体"/>
                <w:szCs w:val="21"/>
              </w:rPr>
            </w:pPr>
            <w:r>
              <w:rPr>
                <w:rFonts w:hint="eastAsia" w:ascii="宋体" w:hAnsi="宋体" w:eastAsia="宋体" w:cs="宋体"/>
                <w:szCs w:val="21"/>
              </w:rPr>
              <w:t>会计中介机构审批</w:t>
            </w:r>
          </w:p>
        </w:tc>
        <w:tc>
          <w:tcPr>
            <w:tcW w:w="679" w:type="pct"/>
            <w:vAlign w:val="center"/>
          </w:tcPr>
          <w:p>
            <w:pPr>
              <w:widowControl/>
              <w:textAlignment w:val="bottom"/>
              <w:rPr>
                <w:rFonts w:ascii="宋体" w:hAnsi="宋体" w:eastAsia="宋体" w:cs="宋体"/>
                <w:color w:val="000000"/>
                <w:szCs w:val="21"/>
              </w:rPr>
            </w:pPr>
            <w:r>
              <w:rPr>
                <w:rFonts w:hint="eastAsia" w:ascii="宋体" w:hAnsi="宋体" w:eastAsia="宋体" w:cs="宋体"/>
                <w:color w:val="000000"/>
                <w:kern w:val="0"/>
                <w:szCs w:val="21"/>
                <w:lang w:bidi="ar"/>
              </w:rPr>
              <w:t>《中华人民共和国会计法》 《代理记账管理办法》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bottom"/>
              <w:rPr>
                <w:rFonts w:ascii="宋体" w:hAnsi="宋体" w:eastAsia="宋体" w:cs="宋体"/>
                <w:color w:val="000000"/>
                <w:szCs w:val="21"/>
              </w:rPr>
            </w:pPr>
            <w:r>
              <w:rPr>
                <w:rFonts w:hint="eastAsia" w:ascii="宋体" w:hAnsi="宋体" w:eastAsia="宋体" w:cs="宋体"/>
                <w:szCs w:val="21"/>
              </w:rPr>
              <w:t>代理记账资格的申请、取得</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rPr>
                <w:rFonts w:ascii="宋体" w:hAnsi="宋体" w:eastAsia="宋体" w:cs="宋体"/>
                <w:szCs w:val="21"/>
              </w:rPr>
            </w:pPr>
            <w:r>
              <w:rPr>
                <w:rFonts w:hint="eastAsia" w:ascii="宋体" w:hAnsi="宋体" w:eastAsia="宋体" w:cs="宋体"/>
                <w:szCs w:val="21"/>
              </w:rPr>
              <w:t>会计代理记账机构执业资格审批</w:t>
            </w:r>
          </w:p>
        </w:tc>
        <w:tc>
          <w:tcPr>
            <w:tcW w:w="679" w:type="pct"/>
            <w:vAlign w:val="center"/>
          </w:tcPr>
          <w:p>
            <w:pPr>
              <w:widowControl/>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《中华人民共和国会计法》 《代理记账管理办法》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bottom"/>
              <w:rPr>
                <w:rFonts w:ascii="宋体" w:hAnsi="宋体" w:eastAsia="宋体" w:cs="宋体"/>
                <w:szCs w:val="21"/>
              </w:rPr>
            </w:pPr>
            <w:r>
              <w:rPr>
                <w:rFonts w:hint="eastAsia" w:ascii="宋体" w:hAnsi="宋体" w:eastAsia="宋体" w:cs="宋体"/>
                <w:szCs w:val="21"/>
              </w:rPr>
              <w:t>会计代理记账机构执业资格审批</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行政处罚</w:t>
            </w:r>
          </w:p>
        </w:tc>
        <w:tc>
          <w:tcPr>
            <w:tcW w:w="489"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印刷企业违反规定印制财政票据，印刷企业以外的单位和个人违反规定印制和使用财政票据的处罚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《中华人民共和国政府信息公开条例》《中华人民共和国会计法》</w:t>
            </w:r>
            <w:r>
              <w:rPr>
                <w:rFonts w:hint="eastAsia" w:ascii="宋体" w:hAnsi="宋体" w:eastAsia="宋体" w:cs="宋体"/>
                <w:szCs w:val="21"/>
              </w:rPr>
              <w:br w:type="textWrapping"/>
            </w:r>
            <w:r>
              <w:rPr>
                <w:rFonts w:hint="eastAsia" w:ascii="宋体" w:hAnsi="宋体" w:eastAsia="宋体" w:cs="宋体"/>
                <w:szCs w:val="21"/>
              </w:rPr>
              <w:t>《财政部门实施会计监督办法》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bottom"/>
              <w:rPr>
                <w:rFonts w:ascii="宋体" w:hAnsi="宋体" w:eastAsia="宋体" w:cs="宋体"/>
                <w:szCs w:val="21"/>
              </w:rPr>
            </w:pPr>
            <w:r>
              <w:rPr>
                <w:rFonts w:hint="eastAsia" w:ascii="宋体" w:hAnsi="宋体" w:eastAsia="宋体" w:cs="宋体"/>
                <w:color w:val="000000"/>
                <w:kern w:val="0"/>
                <w:szCs w:val="21"/>
                <w:lang w:bidi="ar"/>
              </w:rPr>
              <w:t>印刷企业违反规定印制财政票据，印刷企业以外的单位和个人违反规定印制和使用财政票据的处罚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未按照国家统一会计制度要求设置会计账簿、填写会计凭证、保管会计资料的处罚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《中华人民共和国会计法》《财政部门实施会计监督办法》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未按照国家统一会计制度要求设置会计账簿、填写会计凭证、保管会计资料的处罚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隐匿或者故意销毁依法应当保存的会计凭证、会计</w:t>
            </w:r>
            <w:r>
              <w:rPr>
                <w:rFonts w:hint="eastAsia" w:ascii="宋体" w:hAnsi="宋体" w:eastAsia="宋体" w:cs="宋体"/>
                <w:color w:val="000000"/>
                <w:kern w:val="0"/>
                <w:szCs w:val="21"/>
                <w:lang w:eastAsia="zh-CN" w:bidi="ar"/>
              </w:rPr>
              <w:t>账簿</w:t>
            </w:r>
            <w:r>
              <w:rPr>
                <w:rFonts w:hint="eastAsia" w:ascii="宋体" w:hAnsi="宋体" w:eastAsia="宋体" w:cs="宋体"/>
                <w:color w:val="000000"/>
                <w:kern w:val="0"/>
                <w:szCs w:val="21"/>
                <w:lang w:bidi="ar"/>
              </w:rPr>
              <w:t>、财务会计报告行为的处罚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《企业财务会计报告条例》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隐匿或者故意销毁依法应当保存的会计凭证、会计</w:t>
            </w:r>
            <w:r>
              <w:rPr>
                <w:rFonts w:hint="eastAsia" w:ascii="宋体" w:hAnsi="宋体" w:eastAsia="宋体" w:cs="宋体"/>
                <w:color w:val="000000"/>
                <w:kern w:val="0"/>
                <w:szCs w:val="21"/>
                <w:lang w:eastAsia="zh-CN" w:bidi="ar"/>
              </w:rPr>
              <w:t>账簿</w:t>
            </w:r>
            <w:r>
              <w:rPr>
                <w:rFonts w:hint="eastAsia" w:ascii="宋体" w:hAnsi="宋体" w:eastAsia="宋体" w:cs="宋体"/>
                <w:color w:val="000000"/>
                <w:kern w:val="0"/>
                <w:szCs w:val="21"/>
                <w:lang w:bidi="ar"/>
              </w:rPr>
              <w:t>、财务会计报告行为的处罚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企业财务会计随意改变会计要素，未按规定编制会计报告、清查资产和不实提供有关情况的处罚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《企业财务会计报告条例》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企业财务会计随意改变会计要素，未按规定编制会计报告、清查资产和不实提供有关情况的处罚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授意、指使、强令会计机构、会计人员及其他人员编制、对外提供虚假的或者隐瞒重要事实的财务会计报告，或者隐匿、故意销毁依法应当保存的财务会计报告的处罚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《企业财务通则》</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szCs w:val="21"/>
              </w:rPr>
            </w:pPr>
            <w:r>
              <w:rPr>
                <w:rFonts w:hint="eastAsia" w:ascii="宋体" w:hAnsi="宋体" w:eastAsia="宋体" w:cs="宋体"/>
                <w:color w:val="000000"/>
                <w:kern w:val="0"/>
                <w:szCs w:val="21"/>
                <w:lang w:bidi="ar"/>
              </w:rPr>
              <w:t>授意、指使、强令会计机构、会计人员及其他人员编制、对外提供虚假的或者隐瞒重要事实的财务会计报告，或者隐匿、故意销毁依法应当保存的财务会计报告的处罚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企业和企业负有直接责任的主管人员和其他人员未按规定列支成本费用、公积金，截留、隐瞒、侵占企业收入，分配利润，处理国有资源，清偿职工债务的处罚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《企业财务通则》</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企业和企业负有直接责任的主管人员和其他人员未按规定列支成本费用、公积金，截留、隐瞒、侵占企业收入，分配利润，处理国有资源，清偿职工债务的处罚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企业和企业负有直接责任的主管人员和其他人员未按规定建立健全内部财务管理制度的处罚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《企业财务通则》</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企业和企业负有直接责任的主管人员和其他人员未按规定建立健全内部财务管理制度的处罚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企业和企业负有直接责任的主管人员和其他人员未按规定编制、报送财务会计报告等材料的处罚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《财政违法行为处罚处分条例》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企业和企业负有直接责任的主管人员和其他人员未按规定编制、报送财务会计报告等材料的处罚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企业和个人不缴或者少缴财政收入的处罚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《财政违法行为处罚处分条例》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企业和个人不缴或者少缴财政收入的处罚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企业和个人违反规定使用、骗取财政资金以及政府承贷或者担保的外国政府贷款、国际金融组织贷款行为的处罚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《财政违法行为处罚处分条例》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企业和个人违反规定使用、骗取财政资金以及政府承贷或者担保的外国政府贷款、国际金融组织贷款行为的处罚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 xml:space="preserve"> 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采购人、采购代理机构政府采购违法行为的处罚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《中华人民共和国政府采购法》、《政府采购货物和服务招标投标管理办法》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采购人、采购代理机构政府采购违法行为的处罚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采购人、采购代理机构及其工作人员与供应商或者采购代理机构恶意串通，获取不正当利益，提供虚假情况，开标前泄露影响公平竞争招投标情况的处罚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《中华人民共和国政府采购法》《政府采购货物和服务招标投标管理办法》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采购人、采购代理机构及其工作人员与供应商或者采购代理机构恶意串通，获取不正当利益，提供虚假情况，开标前泄露影响公平竞争招投标情况的处罚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采购人、采购代理机构隐匿、销毁应当保存的采购文件或者伪造、变造采购文件的处罚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采购人、采购代理机构隐匿、销毁应当保存的采购文件或者伪造、变造采购文件的处罚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政府采购供应商违法行为的处罚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政府采购供应商违法行为的处罚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中标供应商中标后不签订合同，拒绝履行合同义务，转让或违规分包中标项目的处罚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中标供应商中标后不签订合同，拒绝履行合同义务，转让或违规分包中标项目的处罚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评标委员会成员不正当行为的处罚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评标委员会成员不正当行为的处罚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评标委员会成员或者与评标活动有关的工作人员收受不正当利益，泄露有关情况的处罚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《政府采购非招标采购方式管理办法》《政府采购信息公告管理办法》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评标委员会成员或者与评标活动有关的工作人员收受不正当利益，泄露有关情况的处罚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采购人或者采购代理机构未按规定公告政府采购信息的处罚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采购人或者采购代理机构未按规定公告政府采购信息的处罚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采购人或者采购代理机构招标投标信息中以不合理条件限制或者排斥潜在投标人，公告的信息不真实有虚假或者欺诈内容的处罚</w:t>
            </w:r>
          </w:p>
        </w:tc>
        <w:tc>
          <w:tcPr>
            <w:tcW w:w="679" w:type="pct"/>
            <w:vAlign w:val="center"/>
          </w:tcPr>
          <w:p>
            <w:pPr>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采购人或者采购代理机构招标投标信息中以不合理条件限制或者排斥潜在投标人，公告的信息不真实有虚假或者欺诈内容的处罚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投诉人虚假、恶意投诉的处罚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《浙江省政府非税收入管理条例》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投诉人虚假、恶意投诉的处罚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szCs w:val="21"/>
              </w:rPr>
              <w:t>伪造、变造会计凭证、会计账簿，编制虚假财务会计报告的处罚</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《中华人民共和国政府信息公开条例》《中华人民共和国会计法》《企业财务会计报告条例》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投</w:t>
            </w:r>
            <w:r>
              <w:rPr>
                <w:rFonts w:hint="eastAsia" w:ascii="宋体" w:hAnsi="宋体" w:eastAsia="宋体" w:cs="宋体"/>
                <w:color w:val="000000"/>
                <w:szCs w:val="21"/>
              </w:rPr>
              <w:t>伪造、变造会计凭证、会计账簿，编制虚假财务会计报告的处罚</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rFonts w:ascii="宋体" w:hAnsi="宋体" w:eastAsia="宋体" w:cs="宋体"/>
                <w:szCs w:val="21"/>
              </w:rPr>
            </w:pPr>
            <w:r>
              <w:rPr>
                <w:rFonts w:hint="eastAsia" w:ascii="宋体" w:hAnsi="宋体" w:eastAsia="宋体" w:cs="宋体"/>
                <w:szCs w:val="21"/>
              </w:rPr>
              <w:t>行政征收</w:t>
            </w: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执收单位不明确的政府非税收入征收</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《中华人民共和国会计法》《财政部门实施会计监督办法》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执收单位不明确的政府非税收入征收</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rFonts w:ascii="宋体" w:hAnsi="宋体" w:eastAsia="宋体" w:cs="宋体"/>
                <w:szCs w:val="21"/>
              </w:rPr>
            </w:pPr>
            <w:r>
              <w:rPr>
                <w:rFonts w:hint="eastAsia" w:ascii="宋体" w:hAnsi="宋体" w:eastAsia="宋体" w:cs="宋体"/>
                <w:szCs w:val="21"/>
              </w:rPr>
              <w:t>行政裁决</w:t>
            </w: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政府采购投诉处理</w:t>
            </w:r>
          </w:p>
        </w:tc>
        <w:tc>
          <w:tcPr>
            <w:tcW w:w="679" w:type="pct"/>
            <w:vAlign w:val="center"/>
          </w:tcPr>
          <w:p>
            <w:pPr>
              <w:widowControl/>
              <w:textAlignment w:val="bottom"/>
              <w:rPr>
                <w:rFonts w:ascii="宋体" w:hAnsi="宋体" w:eastAsia="宋体" w:cs="宋体"/>
                <w:color w:val="000000"/>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《中华人民共和国政府采购法》</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《政府采购质疑和投诉办法》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政府采购投诉处理</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行政检查</w:t>
            </w:r>
          </w:p>
        </w:tc>
        <w:tc>
          <w:tcPr>
            <w:tcW w:w="489" w:type="pct"/>
            <w:vAlign w:val="center"/>
          </w:tcPr>
          <w:p>
            <w:pPr>
              <w:widowControl/>
              <w:textAlignment w:val="center"/>
              <w:rPr>
                <w:rFonts w:ascii="宋体" w:hAnsi="宋体" w:eastAsia="宋体" w:cs="宋体"/>
                <w:color w:val="FF0000"/>
                <w:szCs w:val="21"/>
              </w:rPr>
            </w:pPr>
            <w:r>
              <w:rPr>
                <w:rFonts w:hint="eastAsia" w:ascii="宋体" w:hAnsi="宋体" w:eastAsia="宋体" w:cs="宋体"/>
                <w:kern w:val="0"/>
                <w:szCs w:val="21"/>
                <w:lang w:bidi="ar"/>
              </w:rPr>
              <w:t>财政工作监督检查</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szCs w:val="21"/>
              </w:rPr>
              <w:t>《中华人民共和国政府信息公开条例》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FF0000"/>
                <w:szCs w:val="21"/>
              </w:rPr>
            </w:pPr>
            <w:r>
              <w:rPr>
                <w:rFonts w:hint="eastAsia" w:ascii="宋体" w:hAnsi="宋体" w:eastAsia="宋体" w:cs="宋体"/>
                <w:kern w:val="0"/>
                <w:szCs w:val="21"/>
                <w:lang w:bidi="ar"/>
              </w:rPr>
              <w:t>财政工作监督检查</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财政票据监督检查</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color w:val="000000"/>
                <w:kern w:val="0"/>
                <w:szCs w:val="21"/>
                <w:lang w:bidi="ar"/>
              </w:rPr>
              <w:t>《财政票据管理办法》《浙江省政府非税收入管理条例》</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财政票据监督检查</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财政支出资金监督</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color w:val="000000"/>
                <w:kern w:val="0"/>
                <w:szCs w:val="21"/>
                <w:lang w:bidi="ar"/>
              </w:rPr>
              <w:t>《中华人民共和国预算法》《中华人民共和国预算法实施条例》《财政违法行为处罚处分条例》《财政部门监督办法》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财政支出资金监督</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对政府采购活动的监督检查</w:t>
            </w:r>
          </w:p>
        </w:tc>
        <w:tc>
          <w:tcPr>
            <w:tcW w:w="679" w:type="pct"/>
            <w:vAlign w:val="center"/>
          </w:tcPr>
          <w:p>
            <w:pPr>
              <w:widowControl/>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《中华人民共和国政府采购法》 </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对政府采购活动的监督检查</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企业财务管理监督</w:t>
            </w:r>
          </w:p>
        </w:tc>
        <w:tc>
          <w:tcPr>
            <w:tcW w:w="679" w:type="pct"/>
            <w:vAlign w:val="center"/>
          </w:tcPr>
          <w:p>
            <w:pPr>
              <w:widowControl/>
              <w:textAlignment w:val="bottom"/>
              <w:rPr>
                <w:rFonts w:ascii="宋体" w:hAnsi="宋体" w:eastAsia="宋体" w:cs="宋体"/>
                <w:szCs w:val="21"/>
              </w:rPr>
            </w:pPr>
            <w:r>
              <w:rPr>
                <w:rFonts w:hint="eastAsia" w:ascii="宋体" w:hAnsi="宋体" w:eastAsia="宋体" w:cs="宋体"/>
                <w:color w:val="000000"/>
                <w:kern w:val="0"/>
                <w:szCs w:val="21"/>
                <w:lang w:bidi="ar"/>
              </w:rPr>
              <w:t>《企业财务通则》</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企业财务管理监督</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restart"/>
            <w:vAlign w:val="center"/>
          </w:tcPr>
          <w:p>
            <w:pPr>
              <w:rPr>
                <w:rFonts w:ascii="宋体" w:hAnsi="宋体" w:eastAsia="宋体" w:cs="宋体"/>
                <w:szCs w:val="21"/>
              </w:rPr>
            </w:pPr>
            <w:r>
              <w:rPr>
                <w:rFonts w:hint="eastAsia" w:ascii="宋体" w:hAnsi="宋体" w:eastAsia="宋体" w:cs="宋体"/>
                <w:szCs w:val="21"/>
              </w:rPr>
              <w:t>其他权力</w:t>
            </w: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代理记账机构年度报备</w:t>
            </w:r>
          </w:p>
        </w:tc>
        <w:tc>
          <w:tcPr>
            <w:tcW w:w="679" w:type="pct"/>
            <w:vAlign w:val="center"/>
          </w:tcPr>
          <w:p>
            <w:pPr>
              <w:widowControl/>
              <w:textAlignment w:val="bottom"/>
              <w:rPr>
                <w:rFonts w:ascii="宋体" w:hAnsi="宋体" w:eastAsia="宋体" w:cs="宋体"/>
                <w:color w:val="000000"/>
                <w:szCs w:val="21"/>
              </w:rPr>
            </w:pPr>
            <w:r>
              <w:rPr>
                <w:rFonts w:hint="eastAsia" w:ascii="宋体" w:hAnsi="宋体" w:eastAsia="宋体" w:cs="宋体"/>
                <w:szCs w:val="21"/>
              </w:rPr>
              <w:t>《中华人民共和国政府信息公开条例》</w:t>
            </w:r>
            <w:bookmarkStart w:id="0" w:name="_GoBack"/>
            <w:bookmarkEnd w:id="0"/>
            <w:r>
              <w:rPr>
                <w:rFonts w:hint="eastAsia" w:ascii="宋体" w:hAnsi="宋体" w:eastAsia="宋体" w:cs="宋体"/>
                <w:color w:val="000000"/>
                <w:kern w:val="0"/>
                <w:szCs w:val="21"/>
                <w:lang w:bidi="ar"/>
              </w:rPr>
              <w:t>《代理记账管理办法》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代理记账机构年度报备</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restar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代理记账机构变更备案</w:t>
            </w:r>
          </w:p>
        </w:tc>
        <w:tc>
          <w:tcPr>
            <w:tcW w:w="679" w:type="pct"/>
            <w:vAlign w:val="center"/>
          </w:tcPr>
          <w:p>
            <w:pPr>
              <w:widowControl/>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代理记账机构变更备案</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Merge w:val="continue"/>
            <w:vAlign w:val="center"/>
          </w:tcPr>
          <w:p>
            <w:pPr>
              <w:rPr>
                <w:rFonts w:ascii="宋体" w:hAnsi="宋体" w:eastAsia="宋体" w:cs="宋体"/>
                <w:szCs w:val="21"/>
              </w:rPr>
            </w:pPr>
          </w:p>
        </w:tc>
        <w:tc>
          <w:tcPr>
            <w:tcW w:w="489" w:type="pct"/>
            <w:vAlign w:val="center"/>
          </w:tcPr>
          <w:p>
            <w:pPr>
              <w:widowControl/>
              <w:ind w:left="210" w:hanging="210" w:hangingChars="10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代理记账机构终止备案</w:t>
            </w:r>
          </w:p>
        </w:tc>
        <w:tc>
          <w:tcPr>
            <w:tcW w:w="679" w:type="pct"/>
            <w:vAlign w:val="center"/>
          </w:tcPr>
          <w:p>
            <w:pPr>
              <w:widowControl/>
              <w:textAlignment w:val="bottom"/>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《代理记账管理办法》</w:t>
            </w:r>
          </w:p>
        </w:tc>
        <w:tc>
          <w:tcPr>
            <w:tcW w:w="291" w:type="pct"/>
            <w:vAlign w:val="center"/>
          </w:tcPr>
          <w:p>
            <w:pPr>
              <w:rPr>
                <w:rFonts w:ascii="宋体" w:hAnsi="宋体" w:eastAsia="宋体" w:cs="宋体"/>
                <w:szCs w:val="21"/>
              </w:rPr>
            </w:pPr>
            <w:r>
              <w:rPr>
                <w:rFonts w:hint="eastAsia" w:ascii="宋体" w:hAnsi="宋体" w:eastAsia="宋体" w:cs="宋体"/>
                <w:szCs w:val="21"/>
              </w:rPr>
              <w:t>管理</w:t>
            </w:r>
          </w:p>
        </w:tc>
        <w:tc>
          <w:tcPr>
            <w:tcW w:w="1172" w:type="pct"/>
            <w:vAlign w:val="center"/>
          </w:tcPr>
          <w:p>
            <w:pPr>
              <w:widowControl/>
              <w:ind w:left="210" w:hanging="210" w:hangingChars="100"/>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代理记账机构终止备案</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rFonts w:ascii="宋体" w:hAnsi="宋体" w:eastAsia="宋体" w:cs="宋体"/>
                <w:szCs w:val="21"/>
              </w:rPr>
            </w:pPr>
            <w:r>
              <w:rPr>
                <w:rFonts w:hint="eastAsia" w:ascii="宋体" w:hAnsi="宋体" w:eastAsia="宋体" w:cs="宋体"/>
                <w:szCs w:val="21"/>
              </w:rPr>
              <w:t>公共服务</w:t>
            </w:r>
          </w:p>
        </w:tc>
        <w:tc>
          <w:tcPr>
            <w:tcW w:w="489"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统一公共支付</w:t>
            </w:r>
          </w:p>
        </w:tc>
        <w:tc>
          <w:tcPr>
            <w:tcW w:w="679" w:type="pct"/>
            <w:vAlign w:val="center"/>
          </w:tcPr>
          <w:p>
            <w:pPr>
              <w:widowControl/>
              <w:textAlignment w:val="bottom"/>
              <w:rPr>
                <w:rFonts w:ascii="宋体" w:hAnsi="宋体" w:eastAsia="宋体" w:cs="宋体"/>
                <w:color w:val="000000"/>
                <w:szCs w:val="21"/>
              </w:rPr>
            </w:pPr>
            <w:r>
              <w:rPr>
                <w:rFonts w:hint="eastAsia" w:ascii="宋体" w:hAnsi="宋体" w:eastAsia="宋体" w:cs="宋体"/>
                <w:szCs w:val="21"/>
              </w:rPr>
              <w:t>《中华人民共和国政府信息公开条例》</w:t>
            </w:r>
            <w:r>
              <w:rPr>
                <w:rFonts w:hint="eastAsia" w:ascii="宋体" w:hAnsi="宋体" w:eastAsia="宋体" w:cs="宋体"/>
                <w:color w:val="000000"/>
                <w:kern w:val="0"/>
                <w:szCs w:val="21"/>
                <w:lang w:bidi="ar"/>
              </w:rPr>
              <w:t>《浙江省政府非税收入管理条例》</w:t>
            </w:r>
          </w:p>
        </w:tc>
        <w:tc>
          <w:tcPr>
            <w:tcW w:w="291" w:type="pct"/>
            <w:vAlign w:val="center"/>
          </w:tcPr>
          <w:p>
            <w:pPr>
              <w:rPr>
                <w:rFonts w:ascii="宋体" w:hAnsi="宋体" w:eastAsia="宋体" w:cs="宋体"/>
                <w:szCs w:val="21"/>
              </w:rPr>
            </w:pPr>
            <w:r>
              <w:rPr>
                <w:rFonts w:hint="eastAsia" w:ascii="宋体" w:hAnsi="宋体" w:eastAsia="宋体" w:cs="宋体"/>
                <w:szCs w:val="21"/>
              </w:rPr>
              <w:t>服务</w:t>
            </w:r>
          </w:p>
        </w:tc>
        <w:tc>
          <w:tcPr>
            <w:tcW w:w="1172" w:type="pct"/>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统一公共支付</w:t>
            </w:r>
          </w:p>
        </w:tc>
        <w:tc>
          <w:tcPr>
            <w:tcW w:w="776" w:type="pct"/>
            <w:vAlign w:val="center"/>
          </w:tcPr>
          <w:p>
            <w:pPr>
              <w:rPr>
                <w:rFonts w:ascii="宋体" w:hAnsi="宋体" w:eastAsia="宋体" w:cs="宋体"/>
                <w:szCs w:val="21"/>
              </w:rPr>
            </w:pPr>
            <w:r>
              <w:rPr>
                <w:rFonts w:hint="eastAsia" w:ascii="宋体" w:hAnsi="宋体" w:eastAsia="宋体" w:cs="宋体"/>
                <w:szCs w:val="21"/>
              </w:rPr>
              <w:t>自该信息产生或变更之日起20个工作日内</w:t>
            </w:r>
          </w:p>
        </w:tc>
        <w:tc>
          <w:tcPr>
            <w:tcW w:w="269" w:type="pct"/>
            <w:vAlign w:val="center"/>
          </w:tcPr>
          <w:p>
            <w:pPr>
              <w:rPr>
                <w:rFonts w:ascii="宋体" w:hAnsi="宋体" w:eastAsia="宋体" w:cs="宋体"/>
                <w:szCs w:val="21"/>
              </w:rPr>
            </w:pPr>
            <w:r>
              <w:rPr>
                <w:rFonts w:hint="eastAsia" w:ascii="宋体" w:hAnsi="宋体" w:eastAsia="宋体" w:cs="宋体"/>
                <w:szCs w:val="21"/>
              </w:rPr>
              <w:t>文本</w:t>
            </w:r>
          </w:p>
        </w:tc>
        <w:tc>
          <w:tcPr>
            <w:tcW w:w="413" w:type="pct"/>
            <w:vAlign w:val="center"/>
          </w:tcPr>
          <w:p>
            <w:pPr>
              <w:rPr>
                <w:rFonts w:ascii="宋体" w:hAnsi="宋体" w:eastAsia="宋体" w:cs="宋体"/>
                <w:szCs w:val="21"/>
              </w:rPr>
            </w:pPr>
            <w:r>
              <w:rPr>
                <w:rFonts w:hint="eastAsia" w:ascii="宋体" w:hAnsi="宋体" w:eastAsia="宋体" w:cs="宋体"/>
                <w:szCs w:val="21"/>
              </w:rPr>
              <w:t>政府网站</w:t>
            </w:r>
          </w:p>
        </w:tc>
        <w:tc>
          <w:tcPr>
            <w:tcW w:w="588" w:type="pct"/>
            <w:vAlign w:val="center"/>
          </w:tcPr>
          <w:p>
            <w:pPr>
              <w:rPr>
                <w:rFonts w:ascii="宋体" w:hAnsi="宋体" w:eastAsia="宋体" w:cs="宋体"/>
                <w:szCs w:val="21"/>
              </w:rPr>
            </w:pPr>
            <w:r>
              <w:rPr>
                <w:rFonts w:hint="eastAsia" w:ascii="宋体" w:hAnsi="宋体" w:eastAsia="宋体" w:cs="宋体"/>
                <w:szCs w:val="21"/>
              </w:rPr>
              <w:t>咨询电话：0580-5087845</w:t>
            </w:r>
          </w:p>
          <w:p>
            <w:pPr>
              <w:rPr>
                <w:rFonts w:ascii="宋体" w:hAnsi="宋体" w:eastAsia="宋体" w:cs="宋体"/>
                <w:szCs w:val="21"/>
              </w:rPr>
            </w:pPr>
            <w:r>
              <w:rPr>
                <w:rFonts w:hint="eastAsia" w:ascii="宋体" w:hAnsi="宋体" w:eastAsia="宋体" w:cs="宋体"/>
                <w:szCs w:val="21"/>
              </w:rPr>
              <w:t xml:space="preserve">监督举报电话：0580-12345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p>
        </w:tc>
        <w:tc>
          <w:tcPr>
            <w:tcW w:w="679" w:type="pct"/>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p>
        </w:tc>
        <w:tc>
          <w:tcPr>
            <w:tcW w:w="1172" w:type="pct"/>
            <w:vAlign w:val="center"/>
          </w:tcPr>
          <w:p>
            <w:pPr>
              <w:rPr>
                <w:rFonts w:ascii="宋体" w:hAnsi="宋体" w:eastAsia="宋体" w:cs="宋体"/>
                <w:szCs w:val="21"/>
              </w:rPr>
            </w:pPr>
          </w:p>
        </w:tc>
        <w:tc>
          <w:tcPr>
            <w:tcW w:w="776" w:type="pct"/>
            <w:vAlign w:val="center"/>
          </w:tcPr>
          <w:p>
            <w:pPr>
              <w:rPr>
                <w:rFonts w:ascii="宋体" w:hAnsi="宋体" w:eastAsia="宋体" w:cs="宋体"/>
                <w:szCs w:val="21"/>
              </w:rPr>
            </w:pPr>
          </w:p>
        </w:tc>
        <w:tc>
          <w:tcPr>
            <w:tcW w:w="269" w:type="pct"/>
            <w:vAlign w:val="center"/>
          </w:tcPr>
          <w:p>
            <w:pPr>
              <w:rPr>
                <w:rFonts w:ascii="宋体" w:hAnsi="宋体" w:eastAsia="宋体" w:cs="宋体"/>
                <w:szCs w:val="21"/>
              </w:rPr>
            </w:pPr>
          </w:p>
        </w:tc>
        <w:tc>
          <w:tcPr>
            <w:tcW w:w="413" w:type="pct"/>
            <w:vAlign w:val="center"/>
          </w:tcPr>
          <w:p>
            <w:pPr>
              <w:rPr>
                <w:rFonts w:ascii="宋体" w:hAnsi="宋体" w:eastAsia="宋体" w:cs="宋体"/>
                <w:szCs w:val="21"/>
              </w:rPr>
            </w:pPr>
          </w:p>
        </w:tc>
        <w:tc>
          <w:tcPr>
            <w:tcW w:w="588" w:type="pct"/>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rFonts w:ascii="宋体" w:hAnsi="宋体" w:eastAsia="宋体" w:cs="宋体"/>
                <w:szCs w:val="21"/>
              </w:rPr>
            </w:pPr>
          </w:p>
        </w:tc>
        <w:tc>
          <w:tcPr>
            <w:tcW w:w="489" w:type="pct"/>
            <w:vAlign w:val="center"/>
          </w:tcPr>
          <w:p>
            <w:pPr>
              <w:widowControl/>
              <w:textAlignment w:val="center"/>
              <w:rPr>
                <w:rFonts w:ascii="宋体" w:hAnsi="宋体" w:eastAsia="宋体" w:cs="宋体"/>
                <w:color w:val="000000"/>
                <w:kern w:val="0"/>
                <w:szCs w:val="21"/>
                <w:lang w:bidi="ar"/>
              </w:rPr>
            </w:pPr>
          </w:p>
        </w:tc>
        <w:tc>
          <w:tcPr>
            <w:tcW w:w="679" w:type="pct"/>
            <w:vAlign w:val="center"/>
          </w:tcPr>
          <w:p>
            <w:pPr>
              <w:rPr>
                <w:rFonts w:ascii="宋体" w:hAnsi="宋体" w:eastAsia="宋体" w:cs="宋体"/>
                <w:szCs w:val="21"/>
              </w:rPr>
            </w:pPr>
          </w:p>
        </w:tc>
        <w:tc>
          <w:tcPr>
            <w:tcW w:w="291" w:type="pct"/>
            <w:vAlign w:val="center"/>
          </w:tcPr>
          <w:p>
            <w:pPr>
              <w:rPr>
                <w:rFonts w:ascii="宋体" w:hAnsi="宋体" w:eastAsia="宋体" w:cs="宋体"/>
                <w:szCs w:val="21"/>
              </w:rPr>
            </w:pPr>
          </w:p>
        </w:tc>
        <w:tc>
          <w:tcPr>
            <w:tcW w:w="1172" w:type="pct"/>
            <w:vAlign w:val="center"/>
          </w:tcPr>
          <w:p>
            <w:pPr>
              <w:rPr>
                <w:rFonts w:ascii="宋体" w:hAnsi="宋体" w:eastAsia="宋体" w:cs="宋体"/>
                <w:szCs w:val="21"/>
              </w:rPr>
            </w:pPr>
          </w:p>
        </w:tc>
        <w:tc>
          <w:tcPr>
            <w:tcW w:w="776" w:type="pct"/>
            <w:vAlign w:val="center"/>
          </w:tcPr>
          <w:p>
            <w:pPr>
              <w:rPr>
                <w:rFonts w:ascii="宋体" w:hAnsi="宋体" w:eastAsia="宋体" w:cs="宋体"/>
                <w:szCs w:val="21"/>
              </w:rPr>
            </w:pPr>
          </w:p>
        </w:tc>
        <w:tc>
          <w:tcPr>
            <w:tcW w:w="269" w:type="pct"/>
            <w:vAlign w:val="center"/>
          </w:tcPr>
          <w:p>
            <w:pPr>
              <w:rPr>
                <w:rFonts w:ascii="宋体" w:hAnsi="宋体" w:eastAsia="宋体" w:cs="宋体"/>
                <w:szCs w:val="21"/>
              </w:rPr>
            </w:pPr>
          </w:p>
        </w:tc>
        <w:tc>
          <w:tcPr>
            <w:tcW w:w="413" w:type="pct"/>
            <w:vAlign w:val="center"/>
          </w:tcPr>
          <w:p>
            <w:pPr>
              <w:rPr>
                <w:rFonts w:ascii="宋体" w:hAnsi="宋体" w:eastAsia="宋体" w:cs="宋体"/>
                <w:szCs w:val="21"/>
              </w:rPr>
            </w:pPr>
          </w:p>
        </w:tc>
        <w:tc>
          <w:tcPr>
            <w:tcW w:w="588" w:type="pct"/>
            <w:vAlign w:val="center"/>
          </w:tcPr>
          <w:p>
            <w:pPr>
              <w:rPr>
                <w:rFonts w:ascii="宋体" w:hAnsi="宋体" w:eastAsia="宋体" w:cs="宋体"/>
                <w:szCs w:val="21"/>
              </w:rPr>
            </w:pPr>
          </w:p>
        </w:tc>
      </w:tr>
    </w:tbl>
    <w:p>
      <w:pPr>
        <w:rPr>
          <w:szCs w:val="21"/>
        </w:rPr>
      </w:pPr>
      <w:r>
        <w:rPr>
          <w:rFonts w:hint="eastAsia"/>
          <w:szCs w:val="21"/>
        </w:rPr>
        <w:t>编制人：朱宸漫                         审核人：章震                             编制日期：2020.9.11</w:t>
      </w:r>
    </w:p>
    <w:p>
      <w:pPr>
        <w:rPr>
          <w:szCs w:val="21"/>
        </w:rPr>
      </w:pPr>
    </w:p>
    <w:p>
      <w:pPr>
        <w:rPr>
          <w:szCs w:val="21"/>
        </w:rPr>
      </w:pPr>
      <w:r>
        <w:rPr>
          <w:rFonts w:hint="eastAsia"/>
          <w:szCs w:val="21"/>
        </w:rPr>
        <w:t>说明：1、表格可以按事项类别对公开依据、公开时限、公开格式、公开渠道、咨询及监督举报电话内容相同的进行适当合并，内容不相同的表格不合并。</w:t>
      </w:r>
    </w:p>
    <w:p>
      <w:pPr>
        <w:numPr>
          <w:ilvl w:val="0"/>
          <w:numId w:val="1"/>
        </w:numPr>
        <w:rPr>
          <w:szCs w:val="21"/>
        </w:rPr>
      </w:pPr>
      <w:r>
        <w:rPr>
          <w:rFonts w:hint="eastAsia"/>
          <w:szCs w:val="21"/>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szCs w:val="21"/>
        </w:rPr>
      </w:pPr>
      <w:r>
        <w:rPr>
          <w:rFonts w:hint="eastAsia"/>
          <w:szCs w:val="21"/>
        </w:rPr>
        <w:t>以上内容为政府信息公开目录清单中的部分共性事项，嵊泗县政府信息公开目录清单中涉及到Ⅱ级目录、Ⅲ级目录的，以Ⅱ级目录为事项类型。</w:t>
      </w:r>
    </w:p>
    <w:p>
      <w:pPr>
        <w:numPr>
          <w:ilvl w:val="0"/>
          <w:numId w:val="1"/>
        </w:numPr>
        <w:rPr>
          <w:szCs w:val="21"/>
        </w:rPr>
      </w:pPr>
      <w:r>
        <w:rPr>
          <w:rFonts w:hint="eastAsia"/>
          <w:szCs w:val="21"/>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szCs w:val="21"/>
        </w:rPr>
      </w:pPr>
      <w:r>
        <w:rPr>
          <w:rFonts w:hint="eastAsia"/>
          <w:szCs w:val="21"/>
        </w:rPr>
        <w:t>国办26个试点领域政务公开标准目录中的事项与政府信息公开目录清单中的事项重复的，依据《中华人民共和国</w:t>
      </w:r>
      <w:r>
        <w:rPr>
          <w:rFonts w:hint="eastAsia"/>
          <w:szCs w:val="21"/>
        </w:rPr>
        <w:t>政府信息公开条例》属于主动公开目录的，以信息公开目录中的事项为准。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8DF53"/>
    <w:multiLevelType w:val="singleLevel"/>
    <w:tmpl w:val="2D38DF53"/>
    <w:lvl w:ilvl="0" w:tentative="0">
      <w:start w:val="2"/>
      <w:numFmt w:val="decimal"/>
      <w:suff w:val="nothing"/>
      <w:lvlText w:val="%1、"/>
      <w:lvlJc w:val="left"/>
      <w:pPr>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ZjJhY2UzNzQzNmE0MGU5MmIwMjJkZWJiMjBlMzYifQ=="/>
  </w:docVars>
  <w:rsids>
    <w:rsidRoot w:val="00D74DAC"/>
    <w:rsid w:val="000066EF"/>
    <w:rsid w:val="00055F94"/>
    <w:rsid w:val="001714C2"/>
    <w:rsid w:val="001E05E2"/>
    <w:rsid w:val="003E5E83"/>
    <w:rsid w:val="00435D29"/>
    <w:rsid w:val="004503E8"/>
    <w:rsid w:val="005904E2"/>
    <w:rsid w:val="005D18DA"/>
    <w:rsid w:val="00644615"/>
    <w:rsid w:val="00AA15D8"/>
    <w:rsid w:val="00AB3007"/>
    <w:rsid w:val="00C90EE4"/>
    <w:rsid w:val="00D74DAC"/>
    <w:rsid w:val="00E305F0"/>
    <w:rsid w:val="00E77D2D"/>
    <w:rsid w:val="06746A23"/>
    <w:rsid w:val="06EF3781"/>
    <w:rsid w:val="0A4E28F6"/>
    <w:rsid w:val="10593733"/>
    <w:rsid w:val="120428B3"/>
    <w:rsid w:val="188B1C46"/>
    <w:rsid w:val="1B6C5E4D"/>
    <w:rsid w:val="200467D6"/>
    <w:rsid w:val="227E133C"/>
    <w:rsid w:val="25110B36"/>
    <w:rsid w:val="2A256CF1"/>
    <w:rsid w:val="2AC04BD4"/>
    <w:rsid w:val="2AC63114"/>
    <w:rsid w:val="2C40156B"/>
    <w:rsid w:val="2F2F466F"/>
    <w:rsid w:val="2FCE2B46"/>
    <w:rsid w:val="39FA39EB"/>
    <w:rsid w:val="3B164124"/>
    <w:rsid w:val="475C0139"/>
    <w:rsid w:val="48287AF9"/>
    <w:rsid w:val="51F61D18"/>
    <w:rsid w:val="54156146"/>
    <w:rsid w:val="560D1AAF"/>
    <w:rsid w:val="564F5A2A"/>
    <w:rsid w:val="59040882"/>
    <w:rsid w:val="5D6C4E5C"/>
    <w:rsid w:val="64D132A2"/>
    <w:rsid w:val="680361FD"/>
    <w:rsid w:val="68434E33"/>
    <w:rsid w:val="6A3C681E"/>
    <w:rsid w:val="6ABC362E"/>
    <w:rsid w:val="6B02538C"/>
    <w:rsid w:val="6B950E38"/>
    <w:rsid w:val="6DF771B0"/>
    <w:rsid w:val="70B368D0"/>
    <w:rsid w:val="7160445E"/>
    <w:rsid w:val="71774F8D"/>
    <w:rsid w:val="7193381E"/>
    <w:rsid w:val="7A397261"/>
    <w:rsid w:val="7BED5582"/>
    <w:rsid w:val="7DFF44E0"/>
    <w:rsid w:val="7E0B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qFormat/>
    <w:uiPriority w:val="0"/>
    <w:pPr>
      <w:tabs>
        <w:tab w:val="center" w:pos="4153"/>
        <w:tab w:val="right" w:pos="8306"/>
      </w:tabs>
      <w:snapToGrid w:val="0"/>
      <w:jc w:val="left"/>
    </w:pPr>
    <w:rPr>
      <w:sz w:val="18"/>
      <w:szCs w:val="18"/>
    </w:rPr>
  </w:style>
  <w:style w:type="paragraph" w:styleId="3">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 w:type="character" w:styleId="8">
    <w:name w:val="FollowedHyperlink"/>
    <w:basedOn w:val="6"/>
    <w:autoRedefine/>
    <w:qFormat/>
    <w:uiPriority w:val="0"/>
    <w:rPr>
      <w:rFonts w:ascii="微软雅黑" w:hAnsi="微软雅黑" w:eastAsia="微软雅黑" w:cs="微软雅黑"/>
      <w:color w:val="3D3D3D"/>
      <w:sz w:val="21"/>
      <w:szCs w:val="21"/>
      <w:u w:val="none"/>
    </w:rPr>
  </w:style>
  <w:style w:type="character" w:styleId="9">
    <w:name w:val="Hyperlink"/>
    <w:basedOn w:val="6"/>
    <w:autoRedefine/>
    <w:qFormat/>
    <w:uiPriority w:val="0"/>
    <w:rPr>
      <w:color w:val="0000FF"/>
      <w:u w:val="single"/>
    </w:rPr>
  </w:style>
  <w:style w:type="character" w:customStyle="1" w:styleId="10">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 w:type="paragraph" w:customStyle="1" w:styleId="1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Table Paragraph"/>
    <w:basedOn w:val="1"/>
    <w:autoRedefine/>
    <w:qFormat/>
    <w:uiPriority w:val="1"/>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12</Pages>
  <Words>6092</Words>
  <Characters>6888</Characters>
  <Lines>54</Lines>
  <Paragraphs>15</Paragraphs>
  <TotalTime>2</TotalTime>
  <ScaleCrop>false</ScaleCrop>
  <LinksUpToDate>false</LinksUpToDate>
  <CharactersWithSpaces>6962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fafa送给你 </cp:lastModifiedBy>
  <dcterms:modified xsi:type="dcterms:W3CDTF">2024-04-23T02:10:45Z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91D9A3DBF27E4283AD9129A6675755C6</vt:lpwstr>
  </property>
</Properties>
</file>