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36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嵊泗县人民政府202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政府信息公开工作年度报告</w:t>
      </w:r>
    </w:p>
    <w:p>
      <w:pPr>
        <w:pStyle w:val="2"/>
        <w:widowControl/>
        <w:spacing w:beforeAutospacing="0" w:afterAutospacing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本年度报告根据《中华人民共和国政府信息公开条例》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和《中华人民共和国政府信息公开工作年度报告格式》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规定编制，所列数据统计期限从202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年1月1日至202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年12月31日。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336" w:lineRule="auto"/>
        <w:ind w:right="0" w:rightChars="0" w:firstLine="640" w:firstLineChars="200"/>
        <w:jc w:val="both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widowControl/>
        <w:spacing w:beforeAutospacing="0" w:afterAutospacing="0" w:line="336" w:lineRule="auto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2023年，嵊泗县人民政府紧紧围绕服务高质量发展目标，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坚持提供内容权威、情况真实、涵盖广泛的信息内容，持续发挥以公开促落实、助监督、强监管等功能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widowControl/>
        <w:spacing w:beforeAutospacing="0" w:afterAutospacing="0" w:line="336" w:lineRule="auto"/>
        <w:ind w:firstLine="643" w:firstLineChars="200"/>
        <w:jc w:val="both"/>
        <w:rPr>
          <w:rFonts w:hint="eastAsia" w:ascii="Times New Roman" w:hAnsi="Times New Roman" w:eastAsia="仿宋_GB2312" w:cs="Times New Roman"/>
          <w:bCs/>
          <w:color w:val="4874CB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（一）主动公开。</w:t>
      </w:r>
    </w:p>
    <w:p>
      <w:pPr>
        <w:pStyle w:val="2"/>
        <w:widowControl/>
        <w:spacing w:beforeAutospacing="0" w:afterAutospacing="0"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不断深化决策、执行、管理、服务和结果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，增强公开实效、丰富公开内容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充分发挥政府网站、政务新媒体等官方平台作用，第一时间发布政府重要会议、活动和政策文件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方便公众深入了解县政府中心工作。开设“公共服务七优享”“助企纾困”等政务专题，集成发布相关政策措施、工作进展等情况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围绕企业、群众关注关切，推动政策文件解读和回应。全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通过县政府门户网站主动公开各类政府信息9842条，其中公开各类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文件70件、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会议信息34条、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助企纾困信息58条、热点回应45条，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通过政务新媒体发布信息919条。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336" w:lineRule="auto"/>
        <w:ind w:left="630" w:leftChars="0" w:right="0" w:rightChars="0"/>
        <w:jc w:val="both"/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kern w:val="2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kern w:val="2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畅通线上、线下申请渠道。严格落实申请登记、审核、办理、答复、归档等办理制度，积极引入政府法律顾问参与依申请公开答复合法性审查等工作。全年共受理政府信息公开申请55件，按时办结52件，结转2024年办理3</w:t>
      </w:r>
      <w:r>
        <w:rPr>
          <w:rFonts w:hint="eastAsia" w:ascii="Times New Roman" w:hAnsi="Times New Roman" w:eastAsia="仿宋" w:cs="Times New Roman"/>
          <w:color w:val="000000" w:themeColor="text1"/>
          <w:kern w:val="2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件，受理量比上年增长87.3%。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336" w:lineRule="auto"/>
        <w:ind w:right="0" w:rightChars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政府信息管理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85"/>
        <w:jc w:val="both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yellow"/>
          <w:shd w:val="clear" w:fill="FFFFFF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严格落实信息公开审核机制，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加强对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乡镇、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部门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的日常监管与督促工作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从源头上确保公开实效，切实提升公开质量。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继续做好行政规范性文件清理工作，动态更新行政规范性文件有效性标注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根据全省统一部署，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乡镇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行政规范性文件清理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全县7个乡镇共49个现行有效规范性文件均在专栏主动公开。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336" w:lineRule="auto"/>
        <w:ind w:right="0" w:rightChars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（四）政府信息公开平台建设。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85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紧扣为民服务宗旨，高标准打造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便民、实用、高效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平台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加强和改进政府网站建设，动态调整、优化网站栏目，加强网站监测，不断提升网站建设管理水平。强化政务新媒体矩阵建设，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充分发挥新媒体平台灵活便捷、互动性强的优势，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立足内容不断强化信息发布、互动回应、舆论引导、办事服务等功能，助力打造指尖上的“政能量”。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（五）监督保障。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85"/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对照《浙江省政务公开工作一本账》，制定《嵊泗县政务公开年度责任清单》，推进各项工作落实。持续开展政府网站和政务新媒体日常监测，及时通报、督促整改发现的问题，推动网站和新媒体安全平稳运行。召开全县政务公开工作部署会，压实乡镇、部门工作责任。举办全县政务公开工作培训班，提高政务公开工作人员的理论素养和业务水平。通过网站和政务新媒体，以问卷调查形式开展社会评议，广泛听取群众意见建议。2023年，未发生政府信息公开工作责任追究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7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175"/>
        <w:gridCol w:w="213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7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本年制发件数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本年废止件数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7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信息内容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行政许可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  <w:lang w:val="en-US" w:eastAsia="zh-CN"/>
              </w:rPr>
              <w:t>14624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7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信息内容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行政处罚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  <w:lang w:val="en-US" w:eastAsia="zh-CN"/>
              </w:rPr>
              <w:t>24896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行政强制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  <w:lang w:val="en-US" w:eastAsia="zh-CN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7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信息内容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行政事业性收费</w:t>
            </w:r>
          </w:p>
        </w:tc>
        <w:tc>
          <w:tcPr>
            <w:tcW w:w="628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3136</w:t>
            </w:r>
          </w:p>
        </w:tc>
      </w:tr>
    </w:tbl>
    <w:p>
      <w:pP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</w:tbl>
    <w:p>
      <w:pP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88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89"/>
        <w:gridCol w:w="445"/>
        <w:gridCol w:w="445"/>
        <w:gridCol w:w="834"/>
        <w:gridCol w:w="445"/>
        <w:gridCol w:w="647"/>
        <w:gridCol w:w="445"/>
        <w:gridCol w:w="445"/>
        <w:gridCol w:w="986"/>
        <w:gridCol w:w="445"/>
        <w:gridCol w:w="445"/>
        <w:gridCol w:w="445"/>
        <w:gridCol w:w="445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9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行政复议</w:t>
            </w:r>
          </w:p>
        </w:tc>
        <w:tc>
          <w:tcPr>
            <w:tcW w:w="595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纠正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尚未审结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未经复议直接起诉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1"/>
                <w:szCs w:val="31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1"/>
                <w:szCs w:val="3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1"/>
                <w:szCs w:val="3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1"/>
                <w:szCs w:val="3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1"/>
                <w:szCs w:val="3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维持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结果纠正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审结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总计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维持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纠正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结果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尚未审结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5"/>
                <w:szCs w:val="25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widowControl/>
        <w:spacing w:beforeAutospacing="0" w:afterAutospacing="0" w:line="336" w:lineRule="auto"/>
        <w:ind w:firstLine="640" w:firstLineChars="200"/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五、存在的主要问题及改进情况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rightChars="0" w:firstLine="640" w:firstLineChars="20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（一）存在的主要问题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部分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乡镇、县属部门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工作人员业务能力不够扎实，政府信息公开总体水平和规范性还需进一步提高；二是政策发布解读不够多样，发布内容难以深入人心；三是政府信息公开联动机制不够健全，信息公开反应速度存在滞后。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rightChars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改进情况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是继续深入开展业务培训，全力提升基层政务公开工作人员的能力和水平，充分运用好年度综合考核等工具，科学开展政务公开工作考核评估，夯实各单位主体责任；二是探索创新多渠道、全方位、立体式解读方式，加强县政府重大决策及重要活动的线上线下传播；三是畅通各领域互动交流，完善信息公开协同办理机制，全面提升全县信息公开质量与效果。</w:t>
      </w:r>
    </w:p>
    <w:p>
      <w:pPr>
        <w:pStyle w:val="2"/>
        <w:widowControl/>
        <w:spacing w:beforeAutospacing="0" w:afterAutospacing="0" w:line="336" w:lineRule="auto"/>
        <w:ind w:firstLine="640" w:firstLineChars="200"/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rightChars="0" w:firstLine="640" w:firstLineChars="200"/>
        <w:jc w:val="left"/>
        <w:rPr>
          <w:color w:val="auto"/>
          <w:highlight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据《政府信息公开信息处理费管理办法》（国办函〔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109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号）文件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规定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全县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未收取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政府信息公开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ZjJhY2UzNzQzNmE0MGU5MmIwMjJkZWJiMjBlMzYifQ=="/>
  </w:docVars>
  <w:rsids>
    <w:rsidRoot w:val="77643D07"/>
    <w:rsid w:val="00D5063D"/>
    <w:rsid w:val="01804A4C"/>
    <w:rsid w:val="02317AF5"/>
    <w:rsid w:val="05257DE5"/>
    <w:rsid w:val="054B5371"/>
    <w:rsid w:val="08E104C7"/>
    <w:rsid w:val="09075A53"/>
    <w:rsid w:val="0B9F3D21"/>
    <w:rsid w:val="119A56B6"/>
    <w:rsid w:val="17AA4179"/>
    <w:rsid w:val="1B55264E"/>
    <w:rsid w:val="1BAD5FE6"/>
    <w:rsid w:val="1D4B2407"/>
    <w:rsid w:val="233F1C1A"/>
    <w:rsid w:val="26695200"/>
    <w:rsid w:val="27702CEA"/>
    <w:rsid w:val="27A877A0"/>
    <w:rsid w:val="29982084"/>
    <w:rsid w:val="2A241B69"/>
    <w:rsid w:val="2EC1207D"/>
    <w:rsid w:val="34627E5E"/>
    <w:rsid w:val="3784633D"/>
    <w:rsid w:val="38D66725"/>
    <w:rsid w:val="40715E74"/>
    <w:rsid w:val="42426BD9"/>
    <w:rsid w:val="44226CC2"/>
    <w:rsid w:val="460A5C60"/>
    <w:rsid w:val="47EA5D49"/>
    <w:rsid w:val="4F732AC8"/>
    <w:rsid w:val="540E2DBF"/>
    <w:rsid w:val="54BE2A37"/>
    <w:rsid w:val="5C91458D"/>
    <w:rsid w:val="5DB449D7"/>
    <w:rsid w:val="5FE61094"/>
    <w:rsid w:val="62DB47B4"/>
    <w:rsid w:val="69A71894"/>
    <w:rsid w:val="69A973BA"/>
    <w:rsid w:val="710B2708"/>
    <w:rsid w:val="77643D07"/>
    <w:rsid w:val="792D20E4"/>
    <w:rsid w:val="7B205002"/>
    <w:rsid w:val="7D4C6582"/>
    <w:rsid w:val="7DE93DD1"/>
    <w:rsid w:val="7E5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2024-01-23T11:38:00Z</dcterms:created>
  <dc:creator>fafa送给你 </dc:creator>
  <cp:lastModifiedBy>fafa送给你 </cp:lastModifiedBy>
  <dcterms:modified xsi:type="dcterms:W3CDTF">2024-02-09T01:26:25Z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A17764155A6D4270BFAE38F81E3B97B7_11</vt:lpwstr>
  </property>
</Properties>
</file>